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12E39">
      <w:pPr>
        <w:spacing w:line="360" w:lineRule="auto"/>
        <w:jc w:val="center"/>
        <w:rPr>
          <w:rFonts w:hint="eastAsia" w:ascii="黑体" w:hAnsi="黑体" w:eastAsia="黑体" w:cs="黑体"/>
          <w:color w:val="000000" w:themeColor="text1"/>
          <w:sz w:val="48"/>
          <w:szCs w:val="48"/>
          <w:lang w:val="en-US" w:eastAsia="zh-CN"/>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洞头区陆域引调水工程二期</w:t>
      </w:r>
    </w:p>
    <w:p w14:paraId="465AA4E5">
      <w:pPr>
        <w:spacing w:line="360" w:lineRule="auto"/>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（金海三道段、滨海十八路段、滨海大道东段和西段）商品</w:t>
      </w:r>
      <w:r>
        <w:rPr>
          <w:rFonts w:hint="eastAsia" w:ascii="黑体" w:hAnsi="黑体" w:eastAsia="黑体" w:cs="黑体"/>
          <w:color w:val="000000" w:themeColor="text1"/>
          <w:sz w:val="48"/>
          <w:szCs w:val="48"/>
          <w:lang w:eastAsia="zh-CN"/>
          <w14:textFill>
            <w14:solidFill>
              <w14:schemeClr w14:val="tx1"/>
            </w14:solidFill>
          </w14:textFill>
        </w:rPr>
        <w:t>砼采购</w:t>
      </w:r>
    </w:p>
    <w:p w14:paraId="214EF45F">
      <w:pPr>
        <w:spacing w:line="360" w:lineRule="auto"/>
        <w:rPr>
          <w:rFonts w:hint="eastAsia" w:ascii="黑体" w:hAnsi="黑体" w:eastAsia="黑体" w:cs="黑体"/>
          <w:color w:val="000000" w:themeColor="text1"/>
          <w14:textFill>
            <w14:solidFill>
              <w14:schemeClr w14:val="tx1"/>
            </w14:solidFill>
          </w14:textFill>
        </w:rPr>
      </w:pPr>
    </w:p>
    <w:p w14:paraId="3069C0B9">
      <w:pPr>
        <w:spacing w:line="360" w:lineRule="auto"/>
        <w:jc w:val="right"/>
        <w:rPr>
          <w:rFonts w:hint="eastAsia" w:ascii="黑体" w:hAnsi="黑体" w:eastAsia="黑体" w:cs="黑体"/>
          <w:color w:val="000000" w:themeColor="text1"/>
          <w14:textFill>
            <w14:solidFill>
              <w14:schemeClr w14:val="tx1"/>
            </w14:solidFill>
          </w14:textFill>
        </w:rPr>
      </w:pPr>
    </w:p>
    <w:p w14:paraId="3DE80C3C">
      <w:pPr>
        <w:spacing w:line="360" w:lineRule="auto"/>
        <w:rPr>
          <w:rFonts w:hint="eastAsia" w:ascii="黑体" w:hAnsi="黑体" w:eastAsia="黑体" w:cs="黑体"/>
          <w:color w:val="000000" w:themeColor="text1"/>
          <w:sz w:val="28"/>
          <w:szCs w:val="28"/>
          <w14:textFill>
            <w14:solidFill>
              <w14:schemeClr w14:val="tx1"/>
            </w14:solidFill>
          </w14:textFill>
        </w:rPr>
      </w:pPr>
    </w:p>
    <w:p w14:paraId="7A08D385">
      <w:pPr>
        <w:spacing w:line="360" w:lineRule="auto"/>
        <w:jc w:val="center"/>
        <w:rPr>
          <w:rFonts w:hint="eastAsia" w:ascii="黑体" w:hAnsi="黑体" w:eastAsia="黑体" w:cs="黑体"/>
          <w:color w:val="000000" w:themeColor="text1"/>
          <w:sz w:val="72"/>
          <w:szCs w:val="72"/>
          <w14:textFill>
            <w14:solidFill>
              <w14:schemeClr w14:val="tx1"/>
            </w14:solidFill>
          </w14:textFill>
        </w:rPr>
      </w:pPr>
    </w:p>
    <w:p w14:paraId="24AC5D75">
      <w:pPr>
        <w:spacing w:line="360" w:lineRule="auto"/>
        <w:jc w:val="center"/>
        <w:rPr>
          <w:rFonts w:hint="eastAsia" w:ascii="黑体" w:hAnsi="黑体" w:eastAsia="黑体" w:cs="黑体"/>
          <w:color w:val="000000" w:themeColor="text1"/>
          <w:sz w:val="72"/>
          <w:szCs w:val="72"/>
          <w:lang w:eastAsia="zh-CN"/>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招标文件</w:t>
      </w:r>
    </w:p>
    <w:p w14:paraId="0183E679">
      <w:pPr>
        <w:spacing w:line="360" w:lineRule="auto"/>
        <w:rPr>
          <w:rFonts w:ascii="宋体" w:hAnsi="宋体"/>
          <w:color w:val="000000" w:themeColor="text1"/>
          <w14:textFill>
            <w14:solidFill>
              <w14:schemeClr w14:val="tx1"/>
            </w14:solidFill>
          </w14:textFill>
        </w:rPr>
      </w:pPr>
    </w:p>
    <w:p w14:paraId="749198A8">
      <w:pPr>
        <w:spacing w:line="360" w:lineRule="auto"/>
        <w:rPr>
          <w:rFonts w:ascii="宋体" w:hAnsi="宋体"/>
          <w:color w:val="000000" w:themeColor="text1"/>
          <w14:textFill>
            <w14:solidFill>
              <w14:schemeClr w14:val="tx1"/>
            </w14:solidFill>
          </w14:textFill>
        </w:rPr>
      </w:pPr>
    </w:p>
    <w:p w14:paraId="779DB35E">
      <w:pPr>
        <w:spacing w:line="360" w:lineRule="auto"/>
        <w:rPr>
          <w:rFonts w:ascii="宋体" w:hAnsi="宋体"/>
          <w:color w:val="000000" w:themeColor="text1"/>
          <w14:textFill>
            <w14:solidFill>
              <w14:schemeClr w14:val="tx1"/>
            </w14:solidFill>
          </w14:textFill>
        </w:rPr>
      </w:pPr>
    </w:p>
    <w:p w14:paraId="002061BD">
      <w:pPr>
        <w:spacing w:line="360" w:lineRule="auto"/>
        <w:rPr>
          <w:rFonts w:ascii="宋体" w:hAnsi="宋体"/>
          <w:color w:val="000000" w:themeColor="text1"/>
          <w14:textFill>
            <w14:solidFill>
              <w14:schemeClr w14:val="tx1"/>
            </w14:solidFill>
          </w14:textFill>
        </w:rPr>
      </w:pPr>
    </w:p>
    <w:p w14:paraId="6ED43E63">
      <w:pPr>
        <w:spacing w:line="360" w:lineRule="auto"/>
        <w:rPr>
          <w:rFonts w:ascii="宋体" w:hAnsi="宋体"/>
          <w:color w:val="000000" w:themeColor="text1"/>
          <w14:textFill>
            <w14:solidFill>
              <w14:schemeClr w14:val="tx1"/>
            </w14:solidFill>
          </w14:textFill>
        </w:rPr>
      </w:pPr>
    </w:p>
    <w:p w14:paraId="3F21B9F2">
      <w:pPr>
        <w:spacing w:line="360" w:lineRule="auto"/>
        <w:rPr>
          <w:rFonts w:ascii="宋体" w:hAnsi="宋体"/>
          <w:color w:val="000000" w:themeColor="text1"/>
          <w14:textFill>
            <w14:solidFill>
              <w14:schemeClr w14:val="tx1"/>
            </w14:solidFill>
          </w14:textFill>
        </w:rPr>
      </w:pPr>
    </w:p>
    <w:p w14:paraId="06B24C09">
      <w:pPr>
        <w:spacing w:line="360" w:lineRule="auto"/>
        <w:rPr>
          <w:rFonts w:ascii="宋体" w:hAnsi="宋体"/>
          <w:color w:val="000000" w:themeColor="text1"/>
          <w14:textFill>
            <w14:solidFill>
              <w14:schemeClr w14:val="tx1"/>
            </w14:solidFill>
          </w14:textFill>
        </w:rPr>
      </w:pPr>
    </w:p>
    <w:p w14:paraId="61763CC1">
      <w:pPr>
        <w:spacing w:line="360" w:lineRule="auto"/>
        <w:rPr>
          <w:rFonts w:hint="eastAsia" w:ascii="宋体" w:hAnsi="宋体"/>
          <w:color w:val="000000" w:themeColor="text1"/>
          <w14:textFill>
            <w14:solidFill>
              <w14:schemeClr w14:val="tx1"/>
            </w14:solidFill>
          </w14:textFill>
        </w:rPr>
      </w:pPr>
    </w:p>
    <w:p w14:paraId="5932DAC7">
      <w:pPr>
        <w:pStyle w:val="17"/>
        <w:ind w:firstLine="210"/>
        <w:rPr>
          <w:rFonts w:hint="eastAsia" w:ascii="宋体" w:hAnsi="宋体"/>
          <w:color w:val="000000" w:themeColor="text1"/>
          <w14:textFill>
            <w14:solidFill>
              <w14:schemeClr w14:val="tx1"/>
            </w14:solidFill>
          </w14:textFill>
        </w:rPr>
      </w:pPr>
    </w:p>
    <w:p w14:paraId="21EA17BD">
      <w:pPr>
        <w:pStyle w:val="17"/>
        <w:ind w:firstLine="0" w:firstLineChars="0"/>
        <w:rPr>
          <w:rFonts w:ascii="宋体" w:hAnsi="宋体"/>
          <w:color w:val="000000" w:themeColor="text1"/>
          <w14:textFill>
            <w14:solidFill>
              <w14:schemeClr w14:val="tx1"/>
            </w14:solidFill>
          </w14:textFill>
        </w:rPr>
      </w:pPr>
    </w:p>
    <w:p w14:paraId="13D640FC">
      <w:pPr>
        <w:pStyle w:val="14"/>
        <w:rPr>
          <w:rFonts w:ascii="宋体" w:hAnsi="宋体"/>
          <w:color w:val="000000" w:themeColor="text1"/>
          <w14:textFill>
            <w14:solidFill>
              <w14:schemeClr w14:val="tx1"/>
            </w14:solidFill>
          </w14:textFill>
        </w:rPr>
      </w:pPr>
    </w:p>
    <w:p w14:paraId="4B4653BB">
      <w:pPr>
        <w:rPr>
          <w:rFonts w:ascii="宋体" w:hAnsi="宋体"/>
          <w:color w:val="000000" w:themeColor="text1"/>
          <w14:textFill>
            <w14:solidFill>
              <w14:schemeClr w14:val="tx1"/>
            </w14:solidFill>
          </w14:textFill>
        </w:rPr>
      </w:pPr>
    </w:p>
    <w:p w14:paraId="7A762E26">
      <w:pPr>
        <w:pStyle w:val="18"/>
        <w:rPr>
          <w:rFonts w:ascii="宋体" w:hAnsi="宋体"/>
          <w:color w:val="000000" w:themeColor="text1"/>
          <w14:textFill>
            <w14:solidFill>
              <w14:schemeClr w14:val="tx1"/>
            </w14:solidFill>
          </w14:textFill>
        </w:rPr>
      </w:pPr>
    </w:p>
    <w:p w14:paraId="43DA4A6B">
      <w:pPr>
        <w:pStyle w:val="18"/>
        <w:rPr>
          <w:rFonts w:ascii="宋体" w:hAnsi="宋体"/>
          <w:color w:val="000000" w:themeColor="text1"/>
          <w14:textFill>
            <w14:solidFill>
              <w14:schemeClr w14:val="tx1"/>
            </w14:solidFill>
          </w14:textFill>
        </w:rPr>
      </w:pPr>
    </w:p>
    <w:p w14:paraId="03F18ADA">
      <w:pPr>
        <w:spacing w:line="360" w:lineRule="auto"/>
        <w:jc w:val="center"/>
        <w:textAlignment w:val="center"/>
        <w:rPr>
          <w:rFonts w:ascii="Arial" w:hAnsi="Arial" w:eastAsia="黑体" w:cs="Arial"/>
          <w:color w:val="000000" w:themeColor="text1"/>
          <w:sz w:val="30"/>
          <w:szCs w:val="30"/>
          <w:u w:val="single"/>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招</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标</w:t>
      </w:r>
      <w:r>
        <w:rPr>
          <w:rFonts w:hint="eastAsia" w:ascii="Arial" w:hAnsi="Arial" w:eastAsia="黑体" w:cs="Arial"/>
          <w:color w:val="000000" w:themeColor="text1"/>
          <w:sz w:val="30"/>
          <w:szCs w:val="30"/>
          <w14:textFill>
            <w14:solidFill>
              <w14:schemeClr w14:val="tx1"/>
            </w14:solidFill>
          </w14:textFill>
        </w:rPr>
        <w:t xml:space="preserve">   </w:t>
      </w:r>
      <w:r>
        <w:rPr>
          <w:rFonts w:ascii="Arial" w:hAnsi="Arial" w:eastAsia="黑体" w:cs="Arial"/>
          <w:color w:val="000000" w:themeColor="text1"/>
          <w:sz w:val="30"/>
          <w:szCs w:val="30"/>
          <w14:textFill>
            <w14:solidFill>
              <w14:schemeClr w14:val="tx1"/>
            </w14:solidFill>
          </w14:textFill>
        </w:rPr>
        <w:t>人：</w:t>
      </w:r>
      <w:r>
        <w:rPr>
          <w:rFonts w:hint="eastAsia" w:ascii="Arial" w:hAnsi="Arial" w:eastAsia="黑体" w:cs="Arial"/>
          <w:color w:val="000000" w:themeColor="text1"/>
          <w:sz w:val="30"/>
          <w:szCs w:val="30"/>
          <w:lang w:eastAsia="zh-CN"/>
          <w14:textFill>
            <w14:solidFill>
              <w14:schemeClr w14:val="tx1"/>
            </w14:solidFill>
          </w14:textFill>
        </w:rPr>
        <w:t>温州市市政工程建设开发有限公司</w:t>
      </w:r>
      <w:r>
        <w:rPr>
          <w:rFonts w:ascii="Arial" w:hAnsi="Arial" w:eastAsia="黑体" w:cs="Arial"/>
          <w:color w:val="000000" w:themeColor="text1"/>
          <w:sz w:val="30"/>
          <w:szCs w:val="30"/>
          <w14:textFill>
            <w14:solidFill>
              <w14:schemeClr w14:val="tx1"/>
            </w14:solidFill>
          </w14:textFill>
        </w:rPr>
        <w:t>（盖单位章）</w:t>
      </w:r>
    </w:p>
    <w:p w14:paraId="6BBA1876">
      <w:pPr>
        <w:pStyle w:val="6"/>
        <w:topLinePunct/>
        <w:spacing w:line="360" w:lineRule="auto"/>
        <w:jc w:val="center"/>
        <w:rPr>
          <w:rFonts w:ascii="Arial" w:hAnsi="Arial" w:eastAsia="黑体" w:cs="Arial"/>
          <w:color w:val="000000" w:themeColor="text1"/>
          <w:sz w:val="30"/>
          <w:szCs w:val="30"/>
          <w14:textFill>
            <w14:solidFill>
              <w14:schemeClr w14:val="tx1"/>
            </w14:solidFill>
          </w14:textFill>
        </w:rPr>
      </w:pPr>
    </w:p>
    <w:p w14:paraId="4B37BE46">
      <w:pPr>
        <w:pStyle w:val="6"/>
        <w:topLinePunct/>
        <w:spacing w:line="360" w:lineRule="auto"/>
        <w:jc w:val="center"/>
        <w:rPr>
          <w:rFonts w:ascii="Arial" w:hAnsi="Arial" w:cs="Arial"/>
          <w:color w:val="000000" w:themeColor="text1"/>
          <w:sz w:val="21"/>
          <w14:textFill>
            <w14:solidFill>
              <w14:schemeClr w14:val="tx1"/>
            </w14:solidFill>
          </w14:textFill>
        </w:rPr>
      </w:pPr>
      <w:r>
        <w:rPr>
          <w:rFonts w:ascii="Arial" w:hAnsi="Arial" w:eastAsia="黑体" w:cs="Arial"/>
          <w:color w:val="000000" w:themeColor="text1"/>
          <w:sz w:val="30"/>
          <w:szCs w:val="30"/>
          <w14:textFill>
            <w14:solidFill>
              <w14:schemeClr w14:val="tx1"/>
            </w14:solidFill>
          </w14:textFill>
        </w:rPr>
        <w:t>日期</w:t>
      </w:r>
      <w:r>
        <w:rPr>
          <w:rFonts w:ascii="Arial" w:hAnsi="Arial" w:eastAsia="黑体" w:cs="Arial"/>
          <w:color w:val="000000" w:themeColor="text1"/>
          <w:sz w:val="28"/>
          <w:szCs w:val="28"/>
          <w14:textFill>
            <w14:solidFill>
              <w14:schemeClr w14:val="tx1"/>
            </w14:solidFill>
          </w14:textFill>
        </w:rPr>
        <w:t>：</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14:textFill>
            <w14:solidFill>
              <w14:schemeClr w14:val="tx1"/>
            </w14:solidFill>
          </w14:textFill>
        </w:rPr>
        <w:t>202</w:t>
      </w:r>
      <w:r>
        <w:rPr>
          <w:rFonts w:hint="eastAsia" w:ascii="Arial" w:hAnsi="Arial" w:eastAsia="黑体" w:cs="Arial"/>
          <w:color w:val="000000" w:themeColor="text1"/>
          <w:sz w:val="28"/>
          <w:szCs w:val="28"/>
          <w:u w:val="single"/>
          <w:lang w:val="en-US" w:eastAsia="zh-CN"/>
          <w14:textFill>
            <w14:solidFill>
              <w14:schemeClr w14:val="tx1"/>
            </w14:solidFill>
          </w14:textFill>
        </w:rPr>
        <w:t>5</w:t>
      </w:r>
      <w:r>
        <w:rPr>
          <w:rFonts w:ascii="Arial" w:hAnsi="Arial" w:eastAsia="黑体" w:cs="Arial"/>
          <w:color w:val="000000" w:themeColor="text1"/>
          <w:sz w:val="28"/>
          <w:szCs w:val="28"/>
          <w:u w:val="single"/>
          <w14:textFill>
            <w14:solidFill>
              <w14:schemeClr w14:val="tx1"/>
            </w14:solidFill>
          </w14:textFill>
        </w:rPr>
        <w:t xml:space="preserve"> </w:t>
      </w:r>
      <w:r>
        <w:rPr>
          <w:rFonts w:ascii="Arial" w:hAnsi="Arial" w:eastAsia="黑体" w:cs="Arial"/>
          <w:color w:val="000000" w:themeColor="text1"/>
          <w:sz w:val="28"/>
          <w:szCs w:val="28"/>
          <w14:textFill>
            <w14:solidFill>
              <w14:schemeClr w14:val="tx1"/>
            </w14:solidFill>
          </w14:textFill>
        </w:rPr>
        <w:t>年</w:t>
      </w:r>
      <w:r>
        <w:rPr>
          <w:rFonts w:ascii="Arial" w:hAnsi="Arial" w:eastAsia="黑体" w:cs="Arial"/>
          <w:color w:val="000000" w:themeColor="text1"/>
          <w:sz w:val="28"/>
          <w:szCs w:val="28"/>
          <w:u w:val="single"/>
          <w14:textFill>
            <w14:solidFill>
              <w14:schemeClr w14:val="tx1"/>
            </w14:solidFill>
          </w14:textFill>
        </w:rPr>
        <w:t xml:space="preserve"> </w:t>
      </w:r>
      <w:r>
        <w:rPr>
          <w:rFonts w:hint="eastAsia" w:ascii="Arial" w:hAnsi="Arial" w:eastAsia="黑体" w:cs="Arial"/>
          <w:color w:val="000000" w:themeColor="text1"/>
          <w:sz w:val="28"/>
          <w:szCs w:val="28"/>
          <w:u w:val="single"/>
          <w:lang w:val="en-US" w:eastAsia="zh-CN"/>
          <w14:textFill>
            <w14:solidFill>
              <w14:schemeClr w14:val="tx1"/>
            </w14:solidFill>
          </w14:textFill>
        </w:rPr>
        <w:t>7</w:t>
      </w:r>
      <w:r>
        <w:rPr>
          <w:rFonts w:ascii="Arial" w:hAnsi="Arial" w:eastAsia="黑体" w:cs="Arial"/>
          <w:color w:val="000000" w:themeColor="text1"/>
          <w:sz w:val="28"/>
          <w:szCs w:val="28"/>
          <w14:textFill>
            <w14:solidFill>
              <w14:schemeClr w14:val="tx1"/>
            </w14:solidFill>
          </w14:textFill>
        </w:rPr>
        <w:t>月</w:t>
      </w:r>
    </w:p>
    <w:p w14:paraId="1C2C88B9">
      <w:pPr>
        <w:pStyle w:val="5"/>
        <w:spacing w:line="360" w:lineRule="auto"/>
        <w:rPr>
          <w:rFonts w:ascii="宋体" w:hAnsi="宋体"/>
          <w:color w:val="000000" w:themeColor="text1"/>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788B1C65">
      <w:pPr>
        <w:rPr>
          <w:color w:val="000000" w:themeColor="text1"/>
          <w14:textFill>
            <w14:solidFill>
              <w14:schemeClr w14:val="tx1"/>
            </w14:solidFill>
          </w14:textFill>
        </w:rPr>
      </w:pPr>
      <w:bookmarkStart w:id="0" w:name="_Toc144974478"/>
      <w:bookmarkStart w:id="1" w:name="_Toc152042286"/>
    </w:p>
    <w:p w14:paraId="26A5DE45">
      <w:pPr>
        <w:spacing w:line="400" w:lineRule="exact"/>
        <w:jc w:val="center"/>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目     录</w:t>
      </w:r>
    </w:p>
    <w:p w14:paraId="5ACC1DBC">
      <w:pPr>
        <w:pStyle w:val="13"/>
        <w:rPr>
          <w:rFonts w:hint="eastAsia" w:ascii="宋体" w:hAnsi="宋体"/>
          <w:color w:val="000000" w:themeColor="text1"/>
          <w14:textFill>
            <w14:solidFill>
              <w14:schemeClr w14:val="tx1"/>
            </w14:solidFill>
          </w14:textFill>
        </w:rPr>
      </w:pPr>
    </w:p>
    <w:p w14:paraId="26132D3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w:instrText>
      </w:r>
      <w:r>
        <w:rPr>
          <w:rFonts w:hint="eastAsia" w:ascii="宋体" w:hAnsi="宋体"/>
          <w:color w:val="000000" w:themeColor="text1"/>
          <w14:textFill>
            <w14:solidFill>
              <w14:schemeClr w14:val="tx1"/>
            </w14:solidFill>
          </w14:textFill>
        </w:rPr>
        <w:instrText xml:space="preserve">TOC \o "1-3" \h \z \u</w:instrText>
      </w:r>
      <w:r>
        <w:rPr>
          <w:rFonts w:ascii="宋体" w:hAnsi="宋体"/>
          <w:color w:val="000000" w:themeColor="text1"/>
          <w14:textFill>
            <w14:solidFill>
              <w14:schemeClr w14:val="tx1"/>
            </w14:solidFill>
          </w14:textFill>
        </w:rPr>
        <w:instrText xml:space="preserve"> </w:instrText>
      </w:r>
      <w:r>
        <w:rPr>
          <w:rFonts w:ascii="宋体" w:hAnsi="宋体"/>
          <w:color w:val="000000" w:themeColor="text1"/>
          <w14:textFill>
            <w14:solidFill>
              <w14:schemeClr w14:val="tx1"/>
            </w14:solidFill>
          </w14:textFill>
        </w:rPr>
        <w:fldChar w:fldCharType="separate"/>
      </w:r>
      <w:r>
        <w:rPr>
          <w:rFonts w:ascii="宋体" w:hAnsi="宋体"/>
          <w:color w:val="000000" w:themeColor="text1"/>
          <w14:textFill>
            <w14:solidFill>
              <w14:schemeClr w14:val="tx1"/>
            </w14:solidFill>
          </w14:textFill>
        </w:rPr>
        <w:fldChar w:fldCharType="begin"/>
      </w:r>
      <w:r>
        <w:rPr>
          <w:rFonts w:ascii="宋体" w:hAnsi="宋体"/>
        </w:rPr>
        <w:instrText xml:space="preserve"> HYPERLINK \l _Toc9252 </w:instrText>
      </w:r>
      <w:r>
        <w:rPr>
          <w:rFonts w:ascii="宋体" w:hAnsi="宋体"/>
        </w:rPr>
        <w:fldChar w:fldCharType="separate"/>
      </w:r>
      <w:r>
        <w:rPr>
          <w:rFonts w:hint="eastAsia" w:ascii="宋体" w:hAnsi="宋体"/>
          <w:bCs w:val="0"/>
        </w:rPr>
        <w:t>第一卷</w:t>
      </w:r>
      <w:r>
        <w:rPr>
          <w:rFonts w:hint="eastAsia" w:ascii="宋体" w:hAnsi="宋体" w:cs="宋体"/>
          <w:szCs w:val="32"/>
        </w:rPr>
        <w:t>第一章  招标公告</w:t>
      </w:r>
      <w:r>
        <w:tab/>
      </w:r>
      <w:r>
        <w:fldChar w:fldCharType="begin"/>
      </w:r>
      <w:r>
        <w:instrText xml:space="preserve"> PAGEREF _Toc9252 \h </w:instrText>
      </w:r>
      <w:r>
        <w:fldChar w:fldCharType="separate"/>
      </w:r>
      <w:r>
        <w:t>4</w:t>
      </w:r>
      <w:r>
        <w:fldChar w:fldCharType="end"/>
      </w:r>
      <w:r>
        <w:rPr>
          <w:rFonts w:ascii="宋体" w:hAnsi="宋体"/>
          <w:color w:val="000000" w:themeColor="text1"/>
          <w14:textFill>
            <w14:solidFill>
              <w14:schemeClr w14:val="tx1"/>
            </w14:solidFill>
          </w14:textFill>
        </w:rPr>
        <w:fldChar w:fldCharType="end"/>
      </w:r>
    </w:p>
    <w:p w14:paraId="42109189">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_Toc9638 </w:instrText>
      </w:r>
      <w:r>
        <w:rPr>
          <w:rFonts w:ascii="宋体" w:hAnsi="宋体"/>
        </w:rPr>
        <w:fldChar w:fldCharType="separate"/>
      </w:r>
      <w:r>
        <w:rPr>
          <w:rFonts w:hint="eastAsia" w:ascii="Arial" w:hAnsi="Arial" w:cs="Arial"/>
          <w:bCs/>
          <w:szCs w:val="36"/>
          <w:lang w:val="en-US" w:eastAsia="zh-CN"/>
        </w:rPr>
        <w:t>洞头区陆域引调水工程二期（金海三道段、滨海十八路段、滨海大道东段和西段）</w:t>
      </w:r>
      <w:r>
        <w:rPr>
          <w:rFonts w:hint="eastAsia" w:ascii="宋体" w:hAnsi="宋体"/>
          <w:bCs/>
          <w:szCs w:val="36"/>
          <w:lang w:eastAsia="zh-CN"/>
        </w:rPr>
        <w:t>商品砼</w:t>
      </w:r>
      <w:r>
        <w:rPr>
          <w:rFonts w:hint="eastAsia" w:ascii="Arial" w:hAnsi="Arial" w:cs="Arial"/>
          <w:bCs/>
          <w:szCs w:val="36"/>
        </w:rPr>
        <w:t>招标公告</w:t>
      </w:r>
      <w:r>
        <w:tab/>
      </w:r>
      <w:r>
        <w:fldChar w:fldCharType="begin"/>
      </w:r>
      <w:r>
        <w:instrText xml:space="preserve"> PAGEREF _Toc9638 \h </w:instrText>
      </w:r>
      <w:r>
        <w:fldChar w:fldCharType="separate"/>
      </w:r>
      <w:r>
        <w:t>5</w:t>
      </w:r>
      <w:r>
        <w:fldChar w:fldCharType="end"/>
      </w:r>
      <w:r>
        <w:rPr>
          <w:rFonts w:ascii="宋体" w:hAnsi="宋体"/>
          <w:color w:val="000000" w:themeColor="text1"/>
          <w14:textFill>
            <w14:solidFill>
              <w14:schemeClr w14:val="tx1"/>
            </w14:solidFill>
          </w14:textFill>
        </w:rPr>
        <w:fldChar w:fldCharType="end"/>
      </w:r>
    </w:p>
    <w:p w14:paraId="1EE3FA1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_Toc3552 </w:instrText>
      </w:r>
      <w:r>
        <w:rPr>
          <w:rFonts w:ascii="宋体" w:hAnsi="宋体"/>
        </w:rPr>
        <w:fldChar w:fldCharType="separate"/>
      </w:r>
      <w:r>
        <w:rPr>
          <w:rFonts w:hint="eastAsia" w:ascii="宋体" w:hAnsi="宋体" w:cs="宋体"/>
          <w:szCs w:val="32"/>
        </w:rPr>
        <w:t>第二章 投标人须知</w:t>
      </w:r>
      <w:r>
        <w:tab/>
      </w:r>
      <w:r>
        <w:fldChar w:fldCharType="begin"/>
      </w:r>
      <w:r>
        <w:instrText xml:space="preserve"> PAGEREF _Toc3552 \h </w:instrText>
      </w:r>
      <w:r>
        <w:fldChar w:fldCharType="separate"/>
      </w:r>
      <w:r>
        <w:t>7</w:t>
      </w:r>
      <w:r>
        <w:fldChar w:fldCharType="end"/>
      </w:r>
      <w:r>
        <w:rPr>
          <w:rFonts w:ascii="宋体" w:hAnsi="宋体"/>
          <w:color w:val="000000" w:themeColor="text1"/>
          <w14:textFill>
            <w14:solidFill>
              <w14:schemeClr w14:val="tx1"/>
            </w14:solidFill>
          </w14:textFill>
        </w:rPr>
        <w:fldChar w:fldCharType="end"/>
      </w:r>
    </w:p>
    <w:p w14:paraId="77305A3E">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_Toc8486 </w:instrText>
      </w:r>
      <w:r>
        <w:rPr>
          <w:rFonts w:ascii="宋体" w:hAnsi="宋体"/>
        </w:rPr>
        <w:fldChar w:fldCharType="separate"/>
      </w:r>
      <w:r>
        <w:rPr>
          <w:rFonts w:hint="eastAsia" w:ascii="宋体" w:hAnsi="宋体"/>
        </w:rPr>
        <w:t>投标人须知前附表</w:t>
      </w:r>
      <w:r>
        <w:tab/>
      </w:r>
      <w:r>
        <w:fldChar w:fldCharType="begin"/>
      </w:r>
      <w:r>
        <w:instrText xml:space="preserve"> PAGEREF _Toc8486 \h </w:instrText>
      </w:r>
      <w:r>
        <w:fldChar w:fldCharType="separate"/>
      </w:r>
      <w:r>
        <w:t>7</w:t>
      </w:r>
      <w:r>
        <w:fldChar w:fldCharType="end"/>
      </w:r>
      <w:r>
        <w:rPr>
          <w:rFonts w:ascii="宋体" w:hAnsi="宋体"/>
          <w:color w:val="000000" w:themeColor="text1"/>
          <w14:textFill>
            <w14:solidFill>
              <w14:schemeClr w14:val="tx1"/>
            </w14:solidFill>
          </w14:textFill>
        </w:rPr>
        <w:fldChar w:fldCharType="end"/>
      </w:r>
    </w:p>
    <w:p w14:paraId="487AB90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_Toc3304 </w:instrText>
      </w:r>
      <w:r>
        <w:rPr>
          <w:rFonts w:ascii="宋体" w:hAnsi="宋体"/>
        </w:rPr>
        <w:fldChar w:fldCharType="separate"/>
      </w:r>
      <w:r>
        <w:rPr>
          <w:rFonts w:hint="eastAsia" w:ascii="宋体" w:hAnsi="宋体"/>
        </w:rPr>
        <w:t>1. 总则</w:t>
      </w:r>
      <w:r>
        <w:tab/>
      </w:r>
      <w:r>
        <w:fldChar w:fldCharType="begin"/>
      </w:r>
      <w:r>
        <w:instrText xml:space="preserve"> PAGEREF _Toc3304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4A52579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_Toc31889 </w:instrText>
      </w:r>
      <w:r>
        <w:rPr>
          <w:rFonts w:ascii="宋体" w:hAnsi="宋体"/>
        </w:rPr>
        <w:fldChar w:fldCharType="separate"/>
      </w:r>
      <w:r>
        <w:rPr>
          <w:rFonts w:hint="eastAsia" w:ascii="宋体" w:hAnsi="宋体" w:eastAsia="宋体"/>
        </w:rPr>
        <w:t>1.1 项目概况</w:t>
      </w:r>
      <w:r>
        <w:tab/>
      </w:r>
      <w:r>
        <w:fldChar w:fldCharType="begin"/>
      </w:r>
      <w:r>
        <w:instrText xml:space="preserve"> PAGEREF _Toc31889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28712D5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_Toc27062 </w:instrText>
      </w:r>
      <w:r>
        <w:rPr>
          <w:rFonts w:ascii="宋体" w:hAnsi="宋体"/>
        </w:rPr>
        <w:fldChar w:fldCharType="separate"/>
      </w:r>
      <w:r>
        <w:rPr>
          <w:rFonts w:hint="eastAsia" w:ascii="宋体" w:hAnsi="宋体" w:eastAsia="宋体"/>
        </w:rPr>
        <w:t>1.2 资金来源情况</w:t>
      </w:r>
      <w:r>
        <w:tab/>
      </w:r>
      <w:r>
        <w:fldChar w:fldCharType="begin"/>
      </w:r>
      <w:r>
        <w:instrText xml:space="preserve"> PAGEREF _Toc27062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774A09E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_Toc12059 </w:instrText>
      </w:r>
      <w:r>
        <w:rPr>
          <w:rFonts w:ascii="宋体" w:hAnsi="宋体"/>
        </w:rPr>
        <w:fldChar w:fldCharType="separate"/>
      </w:r>
      <w:r>
        <w:rPr>
          <w:rFonts w:hint="eastAsia" w:ascii="宋体" w:hAnsi="宋体" w:eastAsia="宋体"/>
        </w:rPr>
        <w:t>1.3 招标范围、计划工期和质量要求</w:t>
      </w:r>
      <w:r>
        <w:tab/>
      </w:r>
      <w:r>
        <w:fldChar w:fldCharType="begin"/>
      </w:r>
      <w:r>
        <w:instrText xml:space="preserve"> PAGEREF _Toc12059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21E8DE3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_Toc13535 </w:instrText>
      </w:r>
      <w:r>
        <w:rPr>
          <w:rFonts w:ascii="宋体" w:hAnsi="宋体"/>
        </w:rPr>
        <w:fldChar w:fldCharType="separate"/>
      </w:r>
      <w:r>
        <w:rPr>
          <w:rFonts w:hint="eastAsia" w:ascii="宋体" w:hAnsi="宋体" w:eastAsia="宋体"/>
        </w:rPr>
        <w:t>1.4 投标人资格要求（适用于已进行资格预审的）</w:t>
      </w:r>
      <w:r>
        <w:tab/>
      </w:r>
      <w:r>
        <w:fldChar w:fldCharType="begin"/>
      </w:r>
      <w:r>
        <w:instrText xml:space="preserve"> PAGEREF _Toc13535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16B429F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_Toc27755 </w:instrText>
      </w:r>
      <w:r>
        <w:rPr>
          <w:rFonts w:ascii="宋体" w:hAnsi="宋体"/>
        </w:rPr>
        <w:fldChar w:fldCharType="separate"/>
      </w:r>
      <w:r>
        <w:rPr>
          <w:rFonts w:hint="eastAsia" w:ascii="宋体" w:hAnsi="宋体" w:eastAsia="宋体"/>
        </w:rPr>
        <w:t>1.4 投标人资格要求（适用于未进行资格预审的）</w:t>
      </w:r>
      <w:r>
        <w:tab/>
      </w:r>
      <w:r>
        <w:fldChar w:fldCharType="begin"/>
      </w:r>
      <w:r>
        <w:instrText xml:space="preserve"> PAGEREF _Toc27755 \h </w:instrText>
      </w:r>
      <w:r>
        <w:fldChar w:fldCharType="separate"/>
      </w:r>
      <w:r>
        <w:t>11</w:t>
      </w:r>
      <w:r>
        <w:fldChar w:fldCharType="end"/>
      </w:r>
      <w:r>
        <w:rPr>
          <w:rFonts w:ascii="宋体" w:hAnsi="宋体"/>
          <w:color w:val="000000" w:themeColor="text1"/>
          <w14:textFill>
            <w14:solidFill>
              <w14:schemeClr w14:val="tx1"/>
            </w14:solidFill>
          </w14:textFill>
        </w:rPr>
        <w:fldChar w:fldCharType="end"/>
      </w:r>
    </w:p>
    <w:p w14:paraId="1FC097B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_Toc19247 </w:instrText>
      </w:r>
      <w:r>
        <w:rPr>
          <w:rFonts w:ascii="宋体" w:hAnsi="宋体"/>
        </w:rPr>
        <w:fldChar w:fldCharType="separate"/>
      </w:r>
      <w:r>
        <w:rPr>
          <w:rFonts w:hint="eastAsia" w:ascii="宋体" w:hAnsi="宋体" w:eastAsia="宋体"/>
        </w:rPr>
        <w:t>1.5 费用承担</w:t>
      </w:r>
      <w:r>
        <w:tab/>
      </w:r>
      <w:r>
        <w:fldChar w:fldCharType="begin"/>
      </w:r>
      <w:r>
        <w:instrText xml:space="preserve"> PAGEREF _Toc19247 \h </w:instrText>
      </w:r>
      <w:r>
        <w:fldChar w:fldCharType="separate"/>
      </w:r>
      <w:r>
        <w:t>12</w:t>
      </w:r>
      <w:r>
        <w:fldChar w:fldCharType="end"/>
      </w:r>
      <w:r>
        <w:rPr>
          <w:rFonts w:ascii="宋体" w:hAnsi="宋体"/>
          <w:color w:val="000000" w:themeColor="text1"/>
          <w14:textFill>
            <w14:solidFill>
              <w14:schemeClr w14:val="tx1"/>
            </w14:solidFill>
          </w14:textFill>
        </w:rPr>
        <w:fldChar w:fldCharType="end"/>
      </w:r>
    </w:p>
    <w:p w14:paraId="34D43FD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_Toc16085 </w:instrText>
      </w:r>
      <w:r>
        <w:rPr>
          <w:rFonts w:ascii="宋体" w:hAnsi="宋体"/>
        </w:rPr>
        <w:fldChar w:fldCharType="separate"/>
      </w:r>
      <w:r>
        <w:rPr>
          <w:rFonts w:hint="eastAsia" w:ascii="宋体" w:hAnsi="宋体" w:eastAsia="宋体"/>
        </w:rPr>
        <w:t>1.6 保密</w:t>
      </w:r>
      <w:r>
        <w:tab/>
      </w:r>
      <w:r>
        <w:fldChar w:fldCharType="begin"/>
      </w:r>
      <w:r>
        <w:instrText xml:space="preserve"> PAGEREF _Toc16085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22ABE18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_Toc4992 </w:instrText>
      </w:r>
      <w:r>
        <w:rPr>
          <w:rFonts w:ascii="宋体" w:hAnsi="宋体"/>
        </w:rPr>
        <w:fldChar w:fldCharType="separate"/>
      </w:r>
      <w:r>
        <w:rPr>
          <w:rFonts w:hint="eastAsia" w:ascii="宋体" w:hAnsi="宋体" w:eastAsia="宋体"/>
        </w:rPr>
        <w:t>1.7 语言文字</w:t>
      </w:r>
      <w:r>
        <w:tab/>
      </w:r>
      <w:r>
        <w:fldChar w:fldCharType="begin"/>
      </w:r>
      <w:r>
        <w:instrText xml:space="preserve"> PAGEREF _Toc4992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5BC8A88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_Toc10330 </w:instrText>
      </w:r>
      <w:r>
        <w:rPr>
          <w:rFonts w:ascii="宋体" w:hAnsi="宋体"/>
        </w:rPr>
        <w:fldChar w:fldCharType="separate"/>
      </w:r>
      <w:r>
        <w:rPr>
          <w:rFonts w:hint="eastAsia" w:ascii="宋体" w:hAnsi="宋体" w:eastAsia="宋体"/>
        </w:rPr>
        <w:t>1.8 计量单位</w:t>
      </w:r>
      <w:r>
        <w:tab/>
      </w:r>
      <w:r>
        <w:fldChar w:fldCharType="begin"/>
      </w:r>
      <w:r>
        <w:instrText xml:space="preserve"> PAGEREF _Toc10330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7023459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_Toc3117 </w:instrText>
      </w:r>
      <w:r>
        <w:rPr>
          <w:rFonts w:ascii="宋体" w:hAnsi="宋体"/>
        </w:rPr>
        <w:fldChar w:fldCharType="separate"/>
      </w:r>
      <w:r>
        <w:rPr>
          <w:rFonts w:hint="eastAsia" w:ascii="宋体" w:hAnsi="宋体" w:eastAsia="宋体"/>
        </w:rPr>
        <w:t>1.9 踏勘现场</w:t>
      </w:r>
      <w:r>
        <w:tab/>
      </w:r>
      <w:r>
        <w:fldChar w:fldCharType="begin"/>
      </w:r>
      <w:r>
        <w:instrText xml:space="preserve"> PAGEREF _Toc3117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57CE627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_Toc10429 </w:instrText>
      </w:r>
      <w:r>
        <w:rPr>
          <w:rFonts w:ascii="宋体" w:hAnsi="宋体"/>
        </w:rPr>
        <w:fldChar w:fldCharType="separate"/>
      </w:r>
      <w:r>
        <w:rPr>
          <w:rFonts w:hint="eastAsia" w:ascii="宋体" w:hAnsi="宋体" w:eastAsia="宋体"/>
        </w:rPr>
        <w:t>1.10 投标预备会</w:t>
      </w:r>
      <w:r>
        <w:tab/>
      </w:r>
      <w:r>
        <w:fldChar w:fldCharType="begin"/>
      </w:r>
      <w:r>
        <w:instrText xml:space="preserve"> PAGEREF _Toc10429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6468B5D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_Toc11616 </w:instrText>
      </w:r>
      <w:r>
        <w:rPr>
          <w:rFonts w:ascii="宋体" w:hAnsi="宋体"/>
        </w:rPr>
        <w:fldChar w:fldCharType="separate"/>
      </w:r>
      <w:r>
        <w:rPr>
          <w:rFonts w:hint="eastAsia" w:ascii="宋体" w:hAnsi="宋体" w:eastAsia="宋体"/>
        </w:rPr>
        <w:t>1.11 分包</w:t>
      </w:r>
      <w:r>
        <w:tab/>
      </w:r>
      <w:r>
        <w:fldChar w:fldCharType="begin"/>
      </w:r>
      <w:r>
        <w:instrText xml:space="preserve"> PAGEREF _Toc11616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4130991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_Toc14639 </w:instrText>
      </w:r>
      <w:r>
        <w:rPr>
          <w:rFonts w:ascii="宋体" w:hAnsi="宋体"/>
        </w:rPr>
        <w:fldChar w:fldCharType="separate"/>
      </w:r>
      <w:r>
        <w:rPr>
          <w:rFonts w:hint="eastAsia" w:ascii="宋体" w:hAnsi="宋体" w:eastAsia="宋体"/>
        </w:rPr>
        <w:t>1.12 偏离</w:t>
      </w:r>
      <w:r>
        <w:tab/>
      </w:r>
      <w:r>
        <w:fldChar w:fldCharType="begin"/>
      </w:r>
      <w:r>
        <w:instrText xml:space="preserve"> PAGEREF _Toc14639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452A03D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_Toc3720 </w:instrText>
      </w:r>
      <w:r>
        <w:rPr>
          <w:rFonts w:ascii="宋体" w:hAnsi="宋体"/>
        </w:rPr>
        <w:fldChar w:fldCharType="separate"/>
      </w:r>
      <w:r>
        <w:rPr>
          <w:rFonts w:hint="eastAsia" w:ascii="宋体" w:hAnsi="宋体"/>
        </w:rPr>
        <w:t>2. 招标文件</w:t>
      </w:r>
      <w:r>
        <w:tab/>
      </w:r>
      <w:r>
        <w:fldChar w:fldCharType="begin"/>
      </w:r>
      <w:r>
        <w:instrText xml:space="preserve"> PAGEREF _Toc3720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14A628E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_Toc4700 </w:instrText>
      </w:r>
      <w:r>
        <w:rPr>
          <w:rFonts w:ascii="宋体" w:hAnsi="宋体"/>
        </w:rPr>
        <w:fldChar w:fldCharType="separate"/>
      </w:r>
      <w:r>
        <w:rPr>
          <w:rFonts w:hint="eastAsia" w:ascii="宋体" w:hAnsi="宋体" w:eastAsia="宋体"/>
        </w:rPr>
        <w:t>2.1 招标文件的组成</w:t>
      </w:r>
      <w:r>
        <w:tab/>
      </w:r>
      <w:r>
        <w:fldChar w:fldCharType="begin"/>
      </w:r>
      <w:r>
        <w:instrText xml:space="preserve"> PAGEREF _Toc4700 \h </w:instrText>
      </w:r>
      <w:r>
        <w:fldChar w:fldCharType="separate"/>
      </w:r>
      <w:r>
        <w:t>13</w:t>
      </w:r>
      <w:r>
        <w:fldChar w:fldCharType="end"/>
      </w:r>
      <w:r>
        <w:rPr>
          <w:rFonts w:ascii="宋体" w:hAnsi="宋体"/>
          <w:color w:val="000000" w:themeColor="text1"/>
          <w14:textFill>
            <w14:solidFill>
              <w14:schemeClr w14:val="tx1"/>
            </w14:solidFill>
          </w14:textFill>
        </w:rPr>
        <w:fldChar w:fldCharType="end"/>
      </w:r>
    </w:p>
    <w:p w14:paraId="55284B5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_Toc28852 </w:instrText>
      </w:r>
      <w:r>
        <w:rPr>
          <w:rFonts w:ascii="宋体" w:hAnsi="宋体"/>
        </w:rPr>
        <w:fldChar w:fldCharType="separate"/>
      </w:r>
      <w:r>
        <w:rPr>
          <w:rFonts w:hint="eastAsia" w:ascii="宋体" w:hAnsi="宋体" w:eastAsia="宋体"/>
        </w:rPr>
        <w:t>2.2 招标文件的澄清</w:t>
      </w:r>
      <w:r>
        <w:tab/>
      </w:r>
      <w:r>
        <w:fldChar w:fldCharType="begin"/>
      </w:r>
      <w:r>
        <w:instrText xml:space="preserve"> PAGEREF _Toc28852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13B02E0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_Toc30689 </w:instrText>
      </w:r>
      <w:r>
        <w:rPr>
          <w:rFonts w:ascii="宋体" w:hAnsi="宋体"/>
        </w:rPr>
        <w:fldChar w:fldCharType="separate"/>
      </w:r>
      <w:r>
        <w:rPr>
          <w:rFonts w:hint="eastAsia" w:ascii="宋体" w:hAnsi="宋体" w:eastAsia="宋体"/>
        </w:rPr>
        <w:t>2.3 招标文件的修改</w:t>
      </w:r>
      <w:r>
        <w:tab/>
      </w:r>
      <w:r>
        <w:fldChar w:fldCharType="begin"/>
      </w:r>
      <w:r>
        <w:instrText xml:space="preserve"> PAGEREF _Toc30689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24FDC80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_Toc7344 </w:instrText>
      </w:r>
      <w:r>
        <w:rPr>
          <w:rFonts w:ascii="宋体" w:hAnsi="宋体"/>
        </w:rPr>
        <w:fldChar w:fldCharType="separate"/>
      </w:r>
      <w:r>
        <w:rPr>
          <w:rFonts w:hint="eastAsia" w:ascii="宋体" w:hAnsi="宋体"/>
        </w:rPr>
        <w:t>3. 投标文件</w:t>
      </w:r>
      <w:r>
        <w:tab/>
      </w:r>
      <w:r>
        <w:fldChar w:fldCharType="begin"/>
      </w:r>
      <w:r>
        <w:instrText xml:space="preserve"> PAGEREF _Toc7344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04DBB7B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_Toc23665 </w:instrText>
      </w:r>
      <w:r>
        <w:rPr>
          <w:rFonts w:ascii="宋体" w:hAnsi="宋体"/>
        </w:rPr>
        <w:fldChar w:fldCharType="separate"/>
      </w:r>
      <w:r>
        <w:rPr>
          <w:rFonts w:hint="eastAsia" w:ascii="宋体" w:hAnsi="宋体" w:eastAsia="宋体"/>
        </w:rPr>
        <w:t>3.1 投标文件的组成</w:t>
      </w:r>
      <w:r>
        <w:tab/>
      </w:r>
      <w:r>
        <w:fldChar w:fldCharType="begin"/>
      </w:r>
      <w:r>
        <w:instrText xml:space="preserve"> PAGEREF _Toc23665 \h </w:instrText>
      </w:r>
      <w:r>
        <w:fldChar w:fldCharType="separate"/>
      </w:r>
      <w:r>
        <w:t>14</w:t>
      </w:r>
      <w:r>
        <w:fldChar w:fldCharType="end"/>
      </w:r>
      <w:r>
        <w:rPr>
          <w:rFonts w:ascii="宋体" w:hAnsi="宋体"/>
          <w:color w:val="000000" w:themeColor="text1"/>
          <w14:textFill>
            <w14:solidFill>
              <w14:schemeClr w14:val="tx1"/>
            </w14:solidFill>
          </w14:textFill>
        </w:rPr>
        <w:fldChar w:fldCharType="end"/>
      </w:r>
    </w:p>
    <w:p w14:paraId="20B5F51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_Toc15121 </w:instrText>
      </w:r>
      <w:r>
        <w:rPr>
          <w:rFonts w:ascii="宋体" w:hAnsi="宋体"/>
        </w:rPr>
        <w:fldChar w:fldCharType="separate"/>
      </w:r>
      <w:r>
        <w:rPr>
          <w:rFonts w:hint="eastAsia" w:ascii="宋体" w:hAnsi="宋体" w:eastAsia="宋体"/>
        </w:rPr>
        <w:t>3.2 投标报价</w:t>
      </w:r>
      <w:r>
        <w:tab/>
      </w:r>
      <w:r>
        <w:fldChar w:fldCharType="begin"/>
      </w:r>
      <w:r>
        <w:instrText xml:space="preserve"> PAGEREF _Toc15121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36C3760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_Toc3129 </w:instrText>
      </w:r>
      <w:r>
        <w:rPr>
          <w:rFonts w:ascii="宋体" w:hAnsi="宋体"/>
        </w:rPr>
        <w:fldChar w:fldCharType="separate"/>
      </w:r>
      <w:r>
        <w:rPr>
          <w:rFonts w:hint="eastAsia" w:ascii="宋体" w:hAnsi="宋体" w:eastAsia="宋体"/>
        </w:rPr>
        <w:t>3.3 投标有效期</w:t>
      </w:r>
      <w:r>
        <w:tab/>
      </w:r>
      <w:r>
        <w:fldChar w:fldCharType="begin"/>
      </w:r>
      <w:r>
        <w:instrText xml:space="preserve"> PAGEREF _Toc3129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210891D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_Toc15764 </w:instrText>
      </w:r>
      <w:r>
        <w:rPr>
          <w:rFonts w:ascii="宋体" w:hAnsi="宋体"/>
        </w:rPr>
        <w:fldChar w:fldCharType="separate"/>
      </w:r>
      <w:r>
        <w:rPr>
          <w:rFonts w:hint="eastAsia" w:ascii="宋体" w:hAnsi="宋体" w:eastAsia="宋体"/>
        </w:rPr>
        <w:t>3.4 投标保证金</w:t>
      </w:r>
      <w:r>
        <w:tab/>
      </w:r>
      <w:r>
        <w:fldChar w:fldCharType="begin"/>
      </w:r>
      <w:r>
        <w:instrText xml:space="preserve"> PAGEREF _Toc15764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32CDB0C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_Toc14144 </w:instrText>
      </w:r>
      <w:r>
        <w:rPr>
          <w:rFonts w:ascii="宋体" w:hAnsi="宋体"/>
        </w:rPr>
        <w:fldChar w:fldCharType="separate"/>
      </w:r>
      <w:r>
        <w:rPr>
          <w:rFonts w:hint="eastAsia" w:ascii="宋体" w:hAnsi="宋体" w:eastAsia="宋体"/>
        </w:rPr>
        <w:t>3.5 资格审查资料（适用于未进行资格预审的）</w:t>
      </w:r>
      <w:r>
        <w:tab/>
      </w:r>
      <w:r>
        <w:fldChar w:fldCharType="begin"/>
      </w:r>
      <w:r>
        <w:instrText xml:space="preserve"> PAGEREF _Toc14144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7B2EC03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_Toc27767 </w:instrText>
      </w:r>
      <w:r>
        <w:rPr>
          <w:rFonts w:ascii="宋体" w:hAnsi="宋体"/>
        </w:rPr>
        <w:fldChar w:fldCharType="separate"/>
      </w:r>
      <w:r>
        <w:rPr>
          <w:rFonts w:hint="eastAsia" w:ascii="宋体" w:hAnsi="宋体" w:eastAsia="宋体"/>
        </w:rPr>
        <w:t>3.6 备选投标方案</w:t>
      </w:r>
      <w:r>
        <w:tab/>
      </w:r>
      <w:r>
        <w:fldChar w:fldCharType="begin"/>
      </w:r>
      <w:r>
        <w:instrText xml:space="preserve"> PAGEREF _Toc27767 \h </w:instrText>
      </w:r>
      <w:r>
        <w:fldChar w:fldCharType="separate"/>
      </w:r>
      <w:r>
        <w:t>15</w:t>
      </w:r>
      <w:r>
        <w:fldChar w:fldCharType="end"/>
      </w:r>
      <w:r>
        <w:rPr>
          <w:rFonts w:ascii="宋体" w:hAnsi="宋体"/>
          <w:color w:val="000000" w:themeColor="text1"/>
          <w14:textFill>
            <w14:solidFill>
              <w14:schemeClr w14:val="tx1"/>
            </w14:solidFill>
          </w14:textFill>
        </w:rPr>
        <w:fldChar w:fldCharType="end"/>
      </w:r>
    </w:p>
    <w:p w14:paraId="16AD640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_Toc17358 </w:instrText>
      </w:r>
      <w:r>
        <w:rPr>
          <w:rFonts w:ascii="宋体" w:hAnsi="宋体"/>
        </w:rPr>
        <w:fldChar w:fldCharType="separate"/>
      </w:r>
      <w:r>
        <w:rPr>
          <w:rFonts w:hint="eastAsia" w:ascii="宋体" w:hAnsi="宋体" w:eastAsia="宋体"/>
        </w:rPr>
        <w:t>3.7 投标文件的编制</w:t>
      </w:r>
      <w:r>
        <w:tab/>
      </w:r>
      <w:r>
        <w:fldChar w:fldCharType="begin"/>
      </w:r>
      <w:r>
        <w:instrText xml:space="preserve"> PAGEREF _Toc17358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3608773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_Toc32706 </w:instrText>
      </w:r>
      <w:r>
        <w:rPr>
          <w:rFonts w:ascii="宋体" w:hAnsi="宋体"/>
        </w:rPr>
        <w:fldChar w:fldCharType="separate"/>
      </w:r>
      <w:r>
        <w:rPr>
          <w:rFonts w:hint="eastAsia" w:ascii="宋体" w:hAnsi="宋体"/>
        </w:rPr>
        <w:t>4. 投标</w:t>
      </w:r>
      <w:r>
        <w:tab/>
      </w:r>
      <w:r>
        <w:fldChar w:fldCharType="begin"/>
      </w:r>
      <w:r>
        <w:instrText xml:space="preserve"> PAGEREF _Toc32706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6C50052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_Toc20780 </w:instrText>
      </w:r>
      <w:r>
        <w:rPr>
          <w:rFonts w:ascii="宋体" w:hAnsi="宋体"/>
        </w:rPr>
        <w:fldChar w:fldCharType="separate"/>
      </w:r>
      <w:r>
        <w:rPr>
          <w:rFonts w:hint="eastAsia" w:ascii="宋体" w:hAnsi="宋体" w:eastAsia="宋体"/>
        </w:rPr>
        <w:t>4.1 投标文件的密封和标记</w:t>
      </w:r>
      <w:r>
        <w:tab/>
      </w:r>
      <w:r>
        <w:fldChar w:fldCharType="begin"/>
      </w:r>
      <w:r>
        <w:instrText xml:space="preserve"> PAGEREF _Toc20780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010BF38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_Toc11150 </w:instrText>
      </w:r>
      <w:r>
        <w:rPr>
          <w:rFonts w:ascii="宋体" w:hAnsi="宋体"/>
        </w:rPr>
        <w:fldChar w:fldCharType="separate"/>
      </w:r>
      <w:r>
        <w:rPr>
          <w:rFonts w:hint="eastAsia" w:ascii="宋体" w:hAnsi="宋体" w:eastAsia="宋体"/>
        </w:rPr>
        <w:t>4.2 投标文件的递交</w:t>
      </w:r>
      <w:r>
        <w:tab/>
      </w:r>
      <w:r>
        <w:fldChar w:fldCharType="begin"/>
      </w:r>
      <w:r>
        <w:instrText xml:space="preserve"> PAGEREF _Toc11150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2E3DC45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_Toc21812 </w:instrText>
      </w:r>
      <w:r>
        <w:rPr>
          <w:rFonts w:ascii="宋体" w:hAnsi="宋体"/>
        </w:rPr>
        <w:fldChar w:fldCharType="separate"/>
      </w:r>
      <w:r>
        <w:rPr>
          <w:rFonts w:hint="eastAsia" w:ascii="宋体" w:hAnsi="宋体" w:eastAsia="宋体"/>
        </w:rPr>
        <w:t>4.3 投标文件的修改与撤回</w:t>
      </w:r>
      <w:r>
        <w:tab/>
      </w:r>
      <w:r>
        <w:fldChar w:fldCharType="begin"/>
      </w:r>
      <w:r>
        <w:instrText xml:space="preserve"> PAGEREF _Toc21812 \h </w:instrText>
      </w:r>
      <w:r>
        <w:fldChar w:fldCharType="separate"/>
      </w:r>
      <w:r>
        <w:t>16</w:t>
      </w:r>
      <w:r>
        <w:fldChar w:fldCharType="end"/>
      </w:r>
      <w:r>
        <w:rPr>
          <w:rFonts w:ascii="宋体" w:hAnsi="宋体"/>
          <w:color w:val="000000" w:themeColor="text1"/>
          <w14:textFill>
            <w14:solidFill>
              <w14:schemeClr w14:val="tx1"/>
            </w14:solidFill>
          </w14:textFill>
        </w:rPr>
        <w:fldChar w:fldCharType="end"/>
      </w:r>
    </w:p>
    <w:p w14:paraId="60A5B0E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_Toc32719 </w:instrText>
      </w:r>
      <w:r>
        <w:rPr>
          <w:rFonts w:ascii="宋体" w:hAnsi="宋体"/>
        </w:rPr>
        <w:fldChar w:fldCharType="separate"/>
      </w:r>
      <w:r>
        <w:rPr>
          <w:rFonts w:hint="eastAsia" w:ascii="宋体" w:hAnsi="宋体"/>
        </w:rPr>
        <w:t>5. 开标</w:t>
      </w:r>
      <w:r>
        <w:tab/>
      </w:r>
      <w:r>
        <w:fldChar w:fldCharType="begin"/>
      </w:r>
      <w:r>
        <w:instrText xml:space="preserve"> PAGEREF _Toc32719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566A7371">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_Toc21384 </w:instrText>
      </w:r>
      <w:r>
        <w:rPr>
          <w:rFonts w:ascii="宋体" w:hAnsi="宋体"/>
        </w:rPr>
        <w:fldChar w:fldCharType="separate"/>
      </w:r>
      <w:r>
        <w:rPr>
          <w:rFonts w:hint="eastAsia" w:ascii="宋体" w:hAnsi="宋体" w:eastAsia="宋体"/>
        </w:rPr>
        <w:t>5.1 开标时间和地点</w:t>
      </w:r>
      <w:r>
        <w:tab/>
      </w:r>
      <w:r>
        <w:fldChar w:fldCharType="begin"/>
      </w:r>
      <w:r>
        <w:instrText xml:space="preserve"> PAGEREF _Toc21384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6C97158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_Toc16175 </w:instrText>
      </w:r>
      <w:r>
        <w:rPr>
          <w:rFonts w:ascii="宋体" w:hAnsi="宋体"/>
        </w:rPr>
        <w:fldChar w:fldCharType="separate"/>
      </w:r>
      <w:r>
        <w:rPr>
          <w:rFonts w:hint="eastAsia" w:ascii="宋体" w:hAnsi="宋体" w:eastAsia="宋体"/>
        </w:rPr>
        <w:t>5.2 开标程序</w:t>
      </w:r>
      <w:r>
        <w:tab/>
      </w:r>
      <w:r>
        <w:fldChar w:fldCharType="begin"/>
      </w:r>
      <w:r>
        <w:instrText xml:space="preserve"> PAGEREF _Toc16175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622FD14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_Toc25457 </w:instrText>
      </w:r>
      <w:r>
        <w:rPr>
          <w:rFonts w:ascii="宋体" w:hAnsi="宋体"/>
        </w:rPr>
        <w:fldChar w:fldCharType="separate"/>
      </w:r>
      <w:r>
        <w:rPr>
          <w:rFonts w:hint="eastAsia" w:ascii="宋体" w:hAnsi="宋体"/>
        </w:rPr>
        <w:t>6. 评标</w:t>
      </w:r>
      <w:r>
        <w:tab/>
      </w:r>
      <w:r>
        <w:fldChar w:fldCharType="begin"/>
      </w:r>
      <w:r>
        <w:instrText xml:space="preserve"> PAGEREF _Toc25457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6CEF97F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_Toc11769 </w:instrText>
      </w:r>
      <w:r>
        <w:rPr>
          <w:rFonts w:ascii="宋体" w:hAnsi="宋体"/>
        </w:rPr>
        <w:fldChar w:fldCharType="separate"/>
      </w:r>
      <w:r>
        <w:rPr>
          <w:rFonts w:hint="eastAsia" w:ascii="宋体" w:hAnsi="宋体" w:eastAsia="宋体"/>
        </w:rPr>
        <w:t>6.1 评标委员会</w:t>
      </w:r>
      <w:r>
        <w:tab/>
      </w:r>
      <w:r>
        <w:fldChar w:fldCharType="begin"/>
      </w:r>
      <w:r>
        <w:instrText xml:space="preserve"> PAGEREF _Toc11769 \h </w:instrText>
      </w:r>
      <w:r>
        <w:fldChar w:fldCharType="separate"/>
      </w:r>
      <w:r>
        <w:t>17</w:t>
      </w:r>
      <w:r>
        <w:fldChar w:fldCharType="end"/>
      </w:r>
      <w:r>
        <w:rPr>
          <w:rFonts w:ascii="宋体" w:hAnsi="宋体"/>
          <w:color w:val="000000" w:themeColor="text1"/>
          <w14:textFill>
            <w14:solidFill>
              <w14:schemeClr w14:val="tx1"/>
            </w14:solidFill>
          </w14:textFill>
        </w:rPr>
        <w:fldChar w:fldCharType="end"/>
      </w:r>
    </w:p>
    <w:p w14:paraId="041259D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_Toc8619 </w:instrText>
      </w:r>
      <w:r>
        <w:rPr>
          <w:rFonts w:ascii="宋体" w:hAnsi="宋体"/>
        </w:rPr>
        <w:fldChar w:fldCharType="separate"/>
      </w:r>
      <w:r>
        <w:rPr>
          <w:rFonts w:hint="eastAsia" w:ascii="宋体" w:hAnsi="宋体" w:eastAsia="宋体"/>
        </w:rPr>
        <w:t>6.2 评标原则</w:t>
      </w:r>
      <w:r>
        <w:tab/>
      </w:r>
      <w:r>
        <w:fldChar w:fldCharType="begin"/>
      </w:r>
      <w:r>
        <w:instrText xml:space="preserve"> PAGEREF _Toc8619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18CAD7F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_Toc21936 </w:instrText>
      </w:r>
      <w:r>
        <w:rPr>
          <w:rFonts w:ascii="宋体" w:hAnsi="宋体"/>
        </w:rPr>
        <w:fldChar w:fldCharType="separate"/>
      </w:r>
      <w:r>
        <w:rPr>
          <w:rFonts w:hint="eastAsia" w:ascii="宋体" w:hAnsi="宋体" w:eastAsia="宋体"/>
        </w:rPr>
        <w:t>6.3 评标</w:t>
      </w:r>
      <w:r>
        <w:tab/>
      </w:r>
      <w:r>
        <w:fldChar w:fldCharType="begin"/>
      </w:r>
      <w:r>
        <w:instrText xml:space="preserve"> PAGEREF _Toc21936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520D5FC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_Toc5899 </w:instrText>
      </w:r>
      <w:r>
        <w:rPr>
          <w:rFonts w:ascii="宋体" w:hAnsi="宋体"/>
        </w:rPr>
        <w:fldChar w:fldCharType="separate"/>
      </w:r>
      <w:r>
        <w:rPr>
          <w:rFonts w:hint="eastAsia" w:ascii="宋体" w:hAnsi="宋体"/>
        </w:rPr>
        <w:t>7. 合同授予</w:t>
      </w:r>
      <w:r>
        <w:tab/>
      </w:r>
      <w:r>
        <w:fldChar w:fldCharType="begin"/>
      </w:r>
      <w:r>
        <w:instrText xml:space="preserve"> PAGEREF _Toc5899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7ED7908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_Toc3650 </w:instrText>
      </w:r>
      <w:r>
        <w:rPr>
          <w:rFonts w:ascii="宋体" w:hAnsi="宋体"/>
        </w:rPr>
        <w:fldChar w:fldCharType="separate"/>
      </w:r>
      <w:r>
        <w:rPr>
          <w:rFonts w:hint="eastAsia" w:ascii="宋体" w:hAnsi="宋体" w:eastAsia="宋体"/>
        </w:rPr>
        <w:t>7.1 定标方式</w:t>
      </w:r>
      <w:r>
        <w:tab/>
      </w:r>
      <w:r>
        <w:fldChar w:fldCharType="begin"/>
      </w:r>
      <w:r>
        <w:instrText xml:space="preserve"> PAGEREF _Toc3650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434839A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_Toc11831 </w:instrText>
      </w:r>
      <w:r>
        <w:rPr>
          <w:rFonts w:ascii="宋体" w:hAnsi="宋体"/>
        </w:rPr>
        <w:fldChar w:fldCharType="separate"/>
      </w:r>
      <w:r>
        <w:rPr>
          <w:rFonts w:hint="eastAsia" w:ascii="宋体" w:hAnsi="宋体" w:eastAsia="宋体"/>
        </w:rPr>
        <w:t>7.2 中标通知</w:t>
      </w:r>
      <w:r>
        <w:tab/>
      </w:r>
      <w:r>
        <w:fldChar w:fldCharType="begin"/>
      </w:r>
      <w:r>
        <w:instrText xml:space="preserve"> PAGEREF _Toc11831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55AF382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_Toc22330 </w:instrText>
      </w:r>
      <w:r>
        <w:rPr>
          <w:rFonts w:ascii="宋体" w:hAnsi="宋体"/>
        </w:rPr>
        <w:fldChar w:fldCharType="separate"/>
      </w:r>
      <w:r>
        <w:rPr>
          <w:rFonts w:hint="eastAsia" w:ascii="宋体" w:hAnsi="宋体" w:eastAsia="宋体"/>
        </w:rPr>
        <w:t>7.3 履约担保</w:t>
      </w:r>
      <w:r>
        <w:tab/>
      </w:r>
      <w:r>
        <w:fldChar w:fldCharType="begin"/>
      </w:r>
      <w:r>
        <w:instrText xml:space="preserve"> PAGEREF _Toc22330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42740012">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_Toc13441 </w:instrText>
      </w:r>
      <w:r>
        <w:rPr>
          <w:rFonts w:ascii="宋体" w:hAnsi="宋体"/>
        </w:rPr>
        <w:fldChar w:fldCharType="separate"/>
      </w:r>
      <w:r>
        <w:rPr>
          <w:rFonts w:hint="eastAsia" w:ascii="宋体" w:hAnsi="宋体" w:eastAsia="宋体"/>
        </w:rPr>
        <w:t>7.4 签订合同</w:t>
      </w:r>
      <w:r>
        <w:tab/>
      </w:r>
      <w:r>
        <w:fldChar w:fldCharType="begin"/>
      </w:r>
      <w:r>
        <w:instrText xml:space="preserve"> PAGEREF _Toc13441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3050D94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_Toc31467 </w:instrText>
      </w:r>
      <w:r>
        <w:rPr>
          <w:rFonts w:ascii="宋体" w:hAnsi="宋体"/>
        </w:rPr>
        <w:fldChar w:fldCharType="separate"/>
      </w:r>
      <w:r>
        <w:rPr>
          <w:rFonts w:hint="eastAsia" w:ascii="宋体" w:hAnsi="宋体"/>
        </w:rPr>
        <w:t>8. 重新招标和不再招标</w:t>
      </w:r>
      <w:r>
        <w:tab/>
      </w:r>
      <w:r>
        <w:fldChar w:fldCharType="begin"/>
      </w:r>
      <w:r>
        <w:instrText xml:space="preserve"> PAGEREF _Toc31467 \h </w:instrText>
      </w:r>
      <w:r>
        <w:fldChar w:fldCharType="separate"/>
      </w:r>
      <w:r>
        <w:t>18</w:t>
      </w:r>
      <w:r>
        <w:fldChar w:fldCharType="end"/>
      </w:r>
      <w:r>
        <w:rPr>
          <w:rFonts w:ascii="宋体" w:hAnsi="宋体"/>
          <w:color w:val="000000" w:themeColor="text1"/>
          <w14:textFill>
            <w14:solidFill>
              <w14:schemeClr w14:val="tx1"/>
            </w14:solidFill>
          </w14:textFill>
        </w:rPr>
        <w:fldChar w:fldCharType="end"/>
      </w:r>
    </w:p>
    <w:p w14:paraId="6D3D9CC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_Toc5983 </w:instrText>
      </w:r>
      <w:r>
        <w:rPr>
          <w:rFonts w:ascii="宋体" w:hAnsi="宋体"/>
        </w:rPr>
        <w:fldChar w:fldCharType="separate"/>
      </w:r>
      <w:r>
        <w:rPr>
          <w:rFonts w:hint="eastAsia" w:ascii="宋体" w:hAnsi="宋体"/>
        </w:rPr>
        <w:t>9. 纪律和监督</w:t>
      </w:r>
      <w:r>
        <w:tab/>
      </w:r>
      <w:r>
        <w:fldChar w:fldCharType="begin"/>
      </w:r>
      <w:r>
        <w:instrText xml:space="preserve"> PAGEREF _Toc5983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792CB8EF">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_Toc5025 </w:instrText>
      </w:r>
      <w:r>
        <w:rPr>
          <w:rFonts w:ascii="宋体" w:hAnsi="宋体"/>
        </w:rPr>
        <w:fldChar w:fldCharType="separate"/>
      </w:r>
      <w:r>
        <w:rPr>
          <w:rFonts w:hint="eastAsia" w:ascii="宋体" w:hAnsi="宋体" w:eastAsia="宋体"/>
        </w:rPr>
        <w:t>9.1 对招标人的纪律要求</w:t>
      </w:r>
      <w:r>
        <w:tab/>
      </w:r>
      <w:r>
        <w:fldChar w:fldCharType="begin"/>
      </w:r>
      <w:r>
        <w:instrText xml:space="preserve"> PAGEREF _Toc5025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51BAF6DB">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_Toc2029 </w:instrText>
      </w:r>
      <w:r>
        <w:rPr>
          <w:rFonts w:ascii="宋体" w:hAnsi="宋体"/>
        </w:rPr>
        <w:fldChar w:fldCharType="separate"/>
      </w:r>
      <w:r>
        <w:rPr>
          <w:rFonts w:hint="eastAsia" w:ascii="宋体" w:hAnsi="宋体" w:eastAsia="宋体"/>
        </w:rPr>
        <w:t>9.2 对投标人的纪律要求</w:t>
      </w:r>
      <w:r>
        <w:tab/>
      </w:r>
      <w:r>
        <w:fldChar w:fldCharType="begin"/>
      </w:r>
      <w:r>
        <w:instrText xml:space="preserve"> PAGEREF _Toc2029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5FC380E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_Toc5631 </w:instrText>
      </w:r>
      <w:r>
        <w:rPr>
          <w:rFonts w:ascii="宋体" w:hAnsi="宋体"/>
        </w:rPr>
        <w:fldChar w:fldCharType="separate"/>
      </w:r>
      <w:r>
        <w:rPr>
          <w:rFonts w:hint="eastAsia" w:ascii="宋体" w:hAnsi="宋体" w:eastAsia="宋体"/>
        </w:rPr>
        <w:t>9.3 对评标委员会成员的纪律要求</w:t>
      </w:r>
      <w:r>
        <w:tab/>
      </w:r>
      <w:r>
        <w:fldChar w:fldCharType="begin"/>
      </w:r>
      <w:r>
        <w:instrText xml:space="preserve"> PAGEREF _Toc5631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4B1F41A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_Toc30811 </w:instrText>
      </w:r>
      <w:r>
        <w:rPr>
          <w:rFonts w:ascii="宋体" w:hAnsi="宋体"/>
        </w:rPr>
        <w:fldChar w:fldCharType="separate"/>
      </w:r>
      <w:r>
        <w:rPr>
          <w:rFonts w:hint="eastAsia" w:ascii="宋体" w:hAnsi="宋体" w:eastAsia="宋体"/>
        </w:rPr>
        <w:t>9.4 对与评标活动有关的工作人员的纪律要求</w:t>
      </w:r>
      <w:r>
        <w:tab/>
      </w:r>
      <w:r>
        <w:fldChar w:fldCharType="begin"/>
      </w:r>
      <w:r>
        <w:instrText xml:space="preserve"> PAGEREF _Toc30811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6DAB779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_Toc830 </w:instrText>
      </w:r>
      <w:r>
        <w:rPr>
          <w:rFonts w:ascii="宋体" w:hAnsi="宋体"/>
        </w:rPr>
        <w:fldChar w:fldCharType="separate"/>
      </w:r>
      <w:r>
        <w:rPr>
          <w:rFonts w:hint="eastAsia" w:ascii="宋体" w:hAnsi="宋体" w:eastAsia="宋体"/>
        </w:rPr>
        <w:t>9.5 投诉</w:t>
      </w:r>
      <w:r>
        <w:tab/>
      </w:r>
      <w:r>
        <w:fldChar w:fldCharType="begin"/>
      </w:r>
      <w:r>
        <w:instrText xml:space="preserve"> PAGEREF _Toc830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00EF307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_Toc1433 </w:instrText>
      </w:r>
      <w:r>
        <w:rPr>
          <w:rFonts w:ascii="宋体" w:hAnsi="宋体"/>
        </w:rPr>
        <w:fldChar w:fldCharType="separate"/>
      </w:r>
      <w:r>
        <w:rPr>
          <w:rFonts w:hint="eastAsia" w:ascii="宋体" w:hAnsi="宋体"/>
          <w:szCs w:val="24"/>
        </w:rPr>
        <w:t>10. 需要补充的其他内容</w:t>
      </w:r>
      <w:r>
        <w:tab/>
      </w:r>
      <w:r>
        <w:fldChar w:fldCharType="begin"/>
      </w:r>
      <w:r>
        <w:instrText xml:space="preserve"> PAGEREF _Toc1433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2A170261">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_Toc10926 </w:instrText>
      </w:r>
      <w:r>
        <w:rPr>
          <w:rFonts w:ascii="宋体" w:hAnsi="宋体"/>
        </w:rPr>
        <w:fldChar w:fldCharType="separate"/>
      </w:r>
      <w:r>
        <w:rPr>
          <w:rFonts w:hint="eastAsia" w:ascii="宋体" w:hAnsi="宋体" w:eastAsia="宋体"/>
        </w:rPr>
        <w:t>10.1解释权</w:t>
      </w:r>
      <w:r>
        <w:tab/>
      </w:r>
      <w:r>
        <w:fldChar w:fldCharType="begin"/>
      </w:r>
      <w:r>
        <w:instrText xml:space="preserve"> PAGEREF _Toc10926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0DD14823">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_Toc14191 </w:instrText>
      </w:r>
      <w:r>
        <w:rPr>
          <w:rFonts w:ascii="宋体" w:hAnsi="宋体"/>
        </w:rPr>
        <w:fldChar w:fldCharType="separate"/>
      </w:r>
      <w:r>
        <w:rPr>
          <w:rFonts w:hint="eastAsia" w:ascii="宋体" w:hAnsi="宋体" w:eastAsia="宋体"/>
        </w:rPr>
        <w:t>10.2投标人信誉要求</w:t>
      </w:r>
      <w:r>
        <w:tab/>
      </w:r>
      <w:r>
        <w:fldChar w:fldCharType="begin"/>
      </w:r>
      <w:r>
        <w:instrText xml:space="preserve"> PAGEREF _Toc14191 \h </w:instrText>
      </w:r>
      <w:r>
        <w:fldChar w:fldCharType="separate"/>
      </w:r>
      <w:r>
        <w:t>19</w:t>
      </w:r>
      <w:r>
        <w:fldChar w:fldCharType="end"/>
      </w:r>
      <w:r>
        <w:rPr>
          <w:rFonts w:ascii="宋体" w:hAnsi="宋体"/>
          <w:color w:val="000000" w:themeColor="text1"/>
          <w14:textFill>
            <w14:solidFill>
              <w14:schemeClr w14:val="tx1"/>
            </w14:solidFill>
          </w14:textFill>
        </w:rPr>
        <w:fldChar w:fldCharType="end"/>
      </w:r>
    </w:p>
    <w:p w14:paraId="27D84AB5">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_Toc23518 </w:instrText>
      </w:r>
      <w:r>
        <w:rPr>
          <w:rFonts w:ascii="宋体" w:hAnsi="宋体"/>
        </w:rPr>
        <w:fldChar w:fldCharType="separate"/>
      </w:r>
      <w:r>
        <w:rPr>
          <w:rFonts w:hint="eastAsia" w:ascii="宋体" w:hAnsi="宋体" w:eastAsia="宋体"/>
        </w:rPr>
        <w:t>10.3投标人不得存在的其他情形（补充）</w:t>
      </w:r>
      <w:r>
        <w:tab/>
      </w:r>
      <w:r>
        <w:fldChar w:fldCharType="begin"/>
      </w:r>
      <w:r>
        <w:instrText xml:space="preserve"> PAGEREF _Toc23518 \h </w:instrText>
      </w:r>
      <w:r>
        <w:fldChar w:fldCharType="separate"/>
      </w:r>
      <w:r>
        <w:t>20</w:t>
      </w:r>
      <w:r>
        <w:fldChar w:fldCharType="end"/>
      </w:r>
      <w:r>
        <w:rPr>
          <w:rFonts w:ascii="宋体" w:hAnsi="宋体"/>
          <w:color w:val="000000" w:themeColor="text1"/>
          <w14:textFill>
            <w14:solidFill>
              <w14:schemeClr w14:val="tx1"/>
            </w14:solidFill>
          </w14:textFill>
        </w:rPr>
        <w:fldChar w:fldCharType="end"/>
      </w:r>
    </w:p>
    <w:p w14:paraId="009221B1">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_Toc4718 </w:instrText>
      </w:r>
      <w:r>
        <w:rPr>
          <w:rFonts w:ascii="宋体" w:hAnsi="宋体"/>
        </w:rPr>
        <w:fldChar w:fldCharType="separate"/>
      </w:r>
      <w:r>
        <w:rPr>
          <w:rFonts w:hint="eastAsia" w:ascii="宋体" w:hAnsi="宋体" w:eastAsia="宋体"/>
        </w:rPr>
        <w:t>10.4招标人补充的其他内容</w:t>
      </w:r>
      <w:r>
        <w:tab/>
      </w:r>
      <w:r>
        <w:fldChar w:fldCharType="begin"/>
      </w:r>
      <w:r>
        <w:instrText xml:space="preserve"> PAGEREF _Toc4718 \h </w:instrText>
      </w:r>
      <w:r>
        <w:fldChar w:fldCharType="separate"/>
      </w:r>
      <w:r>
        <w:t>20</w:t>
      </w:r>
      <w:r>
        <w:fldChar w:fldCharType="end"/>
      </w:r>
      <w:r>
        <w:rPr>
          <w:rFonts w:ascii="宋体" w:hAnsi="宋体"/>
          <w:color w:val="000000" w:themeColor="text1"/>
          <w14:textFill>
            <w14:solidFill>
              <w14:schemeClr w14:val="tx1"/>
            </w14:solidFill>
          </w14:textFill>
        </w:rPr>
        <w:fldChar w:fldCharType="end"/>
      </w:r>
    </w:p>
    <w:p w14:paraId="6F93C470">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_Toc14162 </w:instrText>
      </w:r>
      <w:r>
        <w:rPr>
          <w:rFonts w:ascii="宋体" w:hAnsi="宋体"/>
        </w:rPr>
        <w:fldChar w:fldCharType="separate"/>
      </w:r>
      <w:r>
        <w:rPr>
          <w:rFonts w:hint="eastAsia" w:ascii="宋体" w:hAnsi="宋体" w:eastAsia="宋体" w:cs="宋体"/>
        </w:rPr>
        <w:t>见须知前附表。</w:t>
      </w:r>
      <w:r>
        <w:tab/>
      </w:r>
      <w:r>
        <w:fldChar w:fldCharType="begin"/>
      </w:r>
      <w:r>
        <w:instrText xml:space="preserve"> PAGEREF _Toc14162 \h </w:instrText>
      </w:r>
      <w:r>
        <w:fldChar w:fldCharType="separate"/>
      </w:r>
      <w:r>
        <w:t>20</w:t>
      </w:r>
      <w:r>
        <w:fldChar w:fldCharType="end"/>
      </w:r>
      <w:r>
        <w:rPr>
          <w:rFonts w:ascii="宋体" w:hAnsi="宋体"/>
          <w:color w:val="000000" w:themeColor="text1"/>
          <w14:textFill>
            <w14:solidFill>
              <w14:schemeClr w14:val="tx1"/>
            </w14:solidFill>
          </w14:textFill>
        </w:rPr>
        <w:fldChar w:fldCharType="end"/>
      </w:r>
    </w:p>
    <w:p w14:paraId="2ABFEE2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_Toc4704 </w:instrText>
      </w:r>
      <w:r>
        <w:rPr>
          <w:rFonts w:ascii="宋体" w:hAnsi="宋体"/>
        </w:rPr>
        <w:fldChar w:fldCharType="separate"/>
      </w:r>
      <w:r>
        <w:rPr>
          <w:rFonts w:hint="eastAsia" w:ascii="宋体" w:hAnsi="宋体"/>
          <w:bCs/>
        </w:rPr>
        <w:t>第三章 评标办法（综合评估法）</w:t>
      </w:r>
      <w:r>
        <w:tab/>
      </w:r>
      <w:r>
        <w:fldChar w:fldCharType="begin"/>
      </w:r>
      <w:r>
        <w:instrText xml:space="preserve"> PAGEREF _Toc4704 \h </w:instrText>
      </w:r>
      <w:r>
        <w:fldChar w:fldCharType="separate"/>
      </w:r>
      <w:r>
        <w:t>21</w:t>
      </w:r>
      <w:r>
        <w:fldChar w:fldCharType="end"/>
      </w:r>
      <w:r>
        <w:rPr>
          <w:rFonts w:ascii="宋体" w:hAnsi="宋体"/>
          <w:color w:val="000000" w:themeColor="text1"/>
          <w14:textFill>
            <w14:solidFill>
              <w14:schemeClr w14:val="tx1"/>
            </w14:solidFill>
          </w14:textFill>
        </w:rPr>
        <w:fldChar w:fldCharType="end"/>
      </w:r>
    </w:p>
    <w:p w14:paraId="266C8C60">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_Toc31161 </w:instrText>
      </w:r>
      <w:r>
        <w:rPr>
          <w:rFonts w:ascii="宋体" w:hAnsi="宋体"/>
        </w:rPr>
        <w:fldChar w:fldCharType="separate"/>
      </w:r>
      <w:r>
        <w:rPr>
          <w:rFonts w:hint="eastAsia" w:ascii="宋体" w:hAnsi="宋体"/>
        </w:rPr>
        <w:t>评标办法前附表</w:t>
      </w:r>
      <w:r>
        <w:tab/>
      </w:r>
      <w:r>
        <w:fldChar w:fldCharType="begin"/>
      </w:r>
      <w:r>
        <w:instrText xml:space="preserve"> PAGEREF _Toc31161 \h </w:instrText>
      </w:r>
      <w:r>
        <w:fldChar w:fldCharType="separate"/>
      </w:r>
      <w:r>
        <w:t>21</w:t>
      </w:r>
      <w:r>
        <w:fldChar w:fldCharType="end"/>
      </w:r>
      <w:r>
        <w:rPr>
          <w:rFonts w:ascii="宋体" w:hAnsi="宋体"/>
          <w:color w:val="000000" w:themeColor="text1"/>
          <w14:textFill>
            <w14:solidFill>
              <w14:schemeClr w14:val="tx1"/>
            </w14:solidFill>
          </w14:textFill>
        </w:rPr>
        <w:fldChar w:fldCharType="end"/>
      </w:r>
    </w:p>
    <w:p w14:paraId="4C9575A2">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_Toc6420 </w:instrText>
      </w:r>
      <w:r>
        <w:rPr>
          <w:rFonts w:ascii="宋体" w:hAnsi="宋体"/>
        </w:rPr>
        <w:fldChar w:fldCharType="separate"/>
      </w:r>
      <w:r>
        <w:rPr>
          <w:rFonts w:hint="eastAsia" w:ascii="Arial" w:hAnsi="Arial" w:cs="Arial"/>
          <w:kern w:val="2"/>
          <w:szCs w:val="22"/>
          <w:highlight w:val="none"/>
          <w:lang w:val="en-US" w:eastAsia="zh-CN" w:bidi="ar-SA"/>
        </w:rPr>
        <w:t>投标人自有的商品混凝土砼搅拌站详细地址审查是否符合本次招标要求由招标人判定，招标人拥有最终解释权。</w:t>
      </w:r>
      <w:r>
        <w:tab/>
      </w:r>
      <w:r>
        <w:fldChar w:fldCharType="begin"/>
      </w:r>
      <w:r>
        <w:instrText xml:space="preserve"> PAGEREF _Toc6420 \h </w:instrText>
      </w:r>
      <w:r>
        <w:fldChar w:fldCharType="separate"/>
      </w:r>
      <w:r>
        <w:t>22</w:t>
      </w:r>
      <w:r>
        <w:fldChar w:fldCharType="end"/>
      </w:r>
      <w:r>
        <w:rPr>
          <w:rFonts w:ascii="宋体" w:hAnsi="宋体"/>
          <w:color w:val="000000" w:themeColor="text1"/>
          <w14:textFill>
            <w14:solidFill>
              <w14:schemeClr w14:val="tx1"/>
            </w14:solidFill>
          </w14:textFill>
        </w:rPr>
        <w:fldChar w:fldCharType="end"/>
      </w:r>
    </w:p>
    <w:p w14:paraId="386F4B1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_Toc15869 </w:instrText>
      </w:r>
      <w:r>
        <w:rPr>
          <w:rFonts w:ascii="宋体" w:hAnsi="宋体"/>
        </w:rPr>
        <w:fldChar w:fldCharType="separate"/>
      </w:r>
      <w:r>
        <w:rPr>
          <w:rFonts w:hint="eastAsia" w:ascii="宋体" w:hAnsi="宋体"/>
        </w:rPr>
        <w:t>1. 评标方法</w:t>
      </w:r>
      <w:r>
        <w:tab/>
      </w:r>
      <w:r>
        <w:fldChar w:fldCharType="begin"/>
      </w:r>
      <w:r>
        <w:instrText xml:space="preserve"> PAGEREF _Toc15869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14:paraId="10C6345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_Toc31938 </w:instrText>
      </w:r>
      <w:r>
        <w:rPr>
          <w:rFonts w:ascii="宋体" w:hAnsi="宋体"/>
        </w:rPr>
        <w:fldChar w:fldCharType="separate"/>
      </w:r>
      <w:r>
        <w:rPr>
          <w:rFonts w:hint="eastAsia" w:ascii="宋体" w:hAnsi="宋体"/>
        </w:rPr>
        <w:t>2. 评审标准</w:t>
      </w:r>
      <w:r>
        <w:tab/>
      </w:r>
      <w:r>
        <w:fldChar w:fldCharType="begin"/>
      </w:r>
      <w:r>
        <w:instrText xml:space="preserve"> PAGEREF _Toc31938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14:paraId="0AAA02A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_Toc21668 </w:instrText>
      </w:r>
      <w:r>
        <w:rPr>
          <w:rFonts w:ascii="宋体" w:hAnsi="宋体"/>
        </w:rPr>
        <w:fldChar w:fldCharType="separate"/>
      </w:r>
      <w:r>
        <w:rPr>
          <w:rFonts w:hint="eastAsia" w:ascii="宋体" w:hAnsi="宋体" w:eastAsia="宋体"/>
        </w:rPr>
        <w:t>2.1 初步评审标准</w:t>
      </w:r>
      <w:r>
        <w:tab/>
      </w:r>
      <w:r>
        <w:fldChar w:fldCharType="begin"/>
      </w:r>
      <w:r>
        <w:instrText xml:space="preserve"> PAGEREF _Toc21668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14:paraId="77C6BEF6">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_Toc31323 </w:instrText>
      </w:r>
      <w:r>
        <w:rPr>
          <w:rFonts w:ascii="宋体" w:hAnsi="宋体"/>
        </w:rPr>
        <w:fldChar w:fldCharType="separate"/>
      </w:r>
      <w:r>
        <w:rPr>
          <w:rFonts w:hint="eastAsia" w:ascii="宋体" w:hAnsi="宋体" w:eastAsia="宋体"/>
        </w:rPr>
        <w:t>2.2 分值构成与评分标准</w:t>
      </w:r>
      <w:r>
        <w:tab/>
      </w:r>
      <w:r>
        <w:fldChar w:fldCharType="begin"/>
      </w:r>
      <w:r>
        <w:instrText xml:space="preserve"> PAGEREF _Toc31323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14:paraId="06F219D8">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_Toc852 </w:instrText>
      </w:r>
      <w:r>
        <w:rPr>
          <w:rFonts w:ascii="宋体" w:hAnsi="宋体"/>
        </w:rPr>
        <w:fldChar w:fldCharType="separate"/>
      </w:r>
      <w:r>
        <w:rPr>
          <w:rFonts w:hint="eastAsia" w:ascii="宋体" w:hAnsi="宋体"/>
        </w:rPr>
        <w:t>3. 评标程序</w:t>
      </w:r>
      <w:r>
        <w:tab/>
      </w:r>
      <w:r>
        <w:fldChar w:fldCharType="begin"/>
      </w:r>
      <w:r>
        <w:instrText xml:space="preserve"> PAGEREF _Toc852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14:paraId="43FEBAE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_Toc13178 </w:instrText>
      </w:r>
      <w:r>
        <w:rPr>
          <w:rFonts w:ascii="宋体" w:hAnsi="宋体"/>
        </w:rPr>
        <w:fldChar w:fldCharType="separate"/>
      </w:r>
      <w:r>
        <w:rPr>
          <w:rFonts w:hint="eastAsia" w:ascii="宋体" w:hAnsi="宋体" w:eastAsia="宋体"/>
        </w:rPr>
        <w:t>3.1 初步评审</w:t>
      </w:r>
      <w:r>
        <w:tab/>
      </w:r>
      <w:r>
        <w:fldChar w:fldCharType="begin"/>
      </w:r>
      <w:r>
        <w:instrText xml:space="preserve"> PAGEREF _Toc13178 \h </w:instrText>
      </w:r>
      <w:r>
        <w:fldChar w:fldCharType="separate"/>
      </w:r>
      <w:r>
        <w:t>23</w:t>
      </w:r>
      <w:r>
        <w:fldChar w:fldCharType="end"/>
      </w:r>
      <w:r>
        <w:rPr>
          <w:rFonts w:ascii="宋体" w:hAnsi="宋体"/>
          <w:color w:val="000000" w:themeColor="text1"/>
          <w14:textFill>
            <w14:solidFill>
              <w14:schemeClr w14:val="tx1"/>
            </w14:solidFill>
          </w14:textFill>
        </w:rPr>
        <w:fldChar w:fldCharType="end"/>
      </w:r>
    </w:p>
    <w:p w14:paraId="4E4DC7CA">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_Toc21895 </w:instrText>
      </w:r>
      <w:r>
        <w:rPr>
          <w:rFonts w:ascii="宋体" w:hAnsi="宋体"/>
        </w:rPr>
        <w:fldChar w:fldCharType="separate"/>
      </w:r>
      <w:r>
        <w:rPr>
          <w:rFonts w:hint="eastAsia" w:ascii="宋体" w:hAnsi="宋体" w:eastAsia="宋体"/>
        </w:rPr>
        <w:t>3.2 详细评审</w:t>
      </w:r>
      <w:r>
        <w:tab/>
      </w:r>
      <w:r>
        <w:fldChar w:fldCharType="begin"/>
      </w:r>
      <w:r>
        <w:instrText xml:space="preserve"> PAGEREF _Toc21895 \h </w:instrText>
      </w:r>
      <w:r>
        <w:fldChar w:fldCharType="separate"/>
      </w:r>
      <w:r>
        <w:t>24</w:t>
      </w:r>
      <w:r>
        <w:fldChar w:fldCharType="end"/>
      </w:r>
      <w:r>
        <w:rPr>
          <w:rFonts w:ascii="宋体" w:hAnsi="宋体"/>
          <w:color w:val="000000" w:themeColor="text1"/>
          <w14:textFill>
            <w14:solidFill>
              <w14:schemeClr w14:val="tx1"/>
            </w14:solidFill>
          </w14:textFill>
        </w:rPr>
        <w:fldChar w:fldCharType="end"/>
      </w:r>
    </w:p>
    <w:p w14:paraId="37DBFB1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_Toc23770 </w:instrText>
      </w:r>
      <w:r>
        <w:rPr>
          <w:rFonts w:ascii="宋体" w:hAnsi="宋体"/>
        </w:rPr>
        <w:fldChar w:fldCharType="separate"/>
      </w:r>
      <w:r>
        <w:rPr>
          <w:rFonts w:hint="eastAsia" w:ascii="宋体" w:hAnsi="宋体" w:eastAsia="宋体"/>
        </w:rPr>
        <w:t>3.3 投标文件的澄清和补正</w:t>
      </w:r>
      <w:r>
        <w:tab/>
      </w:r>
      <w:r>
        <w:fldChar w:fldCharType="begin"/>
      </w:r>
      <w:r>
        <w:instrText xml:space="preserve"> PAGEREF _Toc23770 \h </w:instrText>
      </w:r>
      <w:r>
        <w:fldChar w:fldCharType="separate"/>
      </w:r>
      <w:r>
        <w:t>24</w:t>
      </w:r>
      <w:r>
        <w:fldChar w:fldCharType="end"/>
      </w:r>
      <w:r>
        <w:rPr>
          <w:rFonts w:ascii="宋体" w:hAnsi="宋体"/>
          <w:color w:val="000000" w:themeColor="text1"/>
          <w14:textFill>
            <w14:solidFill>
              <w14:schemeClr w14:val="tx1"/>
            </w14:solidFill>
          </w14:textFill>
        </w:rPr>
        <w:fldChar w:fldCharType="end"/>
      </w:r>
    </w:p>
    <w:p w14:paraId="2A683504">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_Toc12193 </w:instrText>
      </w:r>
      <w:r>
        <w:rPr>
          <w:rFonts w:ascii="宋体" w:hAnsi="宋体"/>
        </w:rPr>
        <w:fldChar w:fldCharType="separate"/>
      </w:r>
      <w:r>
        <w:rPr>
          <w:rFonts w:hint="eastAsia" w:ascii="宋体" w:hAnsi="宋体" w:eastAsia="宋体"/>
        </w:rPr>
        <w:t>3.4 评标结果</w:t>
      </w:r>
      <w:r>
        <w:tab/>
      </w:r>
      <w:r>
        <w:fldChar w:fldCharType="begin"/>
      </w:r>
      <w:r>
        <w:instrText xml:space="preserve"> PAGEREF _Toc12193 \h </w:instrText>
      </w:r>
      <w:r>
        <w:fldChar w:fldCharType="separate"/>
      </w:r>
      <w:r>
        <w:t>25</w:t>
      </w:r>
      <w:r>
        <w:fldChar w:fldCharType="end"/>
      </w:r>
      <w:r>
        <w:rPr>
          <w:rFonts w:ascii="宋体" w:hAnsi="宋体"/>
          <w:color w:val="000000" w:themeColor="text1"/>
          <w14:textFill>
            <w14:solidFill>
              <w14:schemeClr w14:val="tx1"/>
            </w14:solidFill>
          </w14:textFill>
        </w:rPr>
        <w:fldChar w:fldCharType="end"/>
      </w:r>
    </w:p>
    <w:p w14:paraId="70FC5D6C">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_Toc10619 </w:instrText>
      </w:r>
      <w:r>
        <w:rPr>
          <w:rFonts w:ascii="宋体" w:hAnsi="宋体"/>
        </w:rPr>
        <w:fldChar w:fldCharType="separate"/>
      </w:r>
      <w:r>
        <w:t>第四章 合同条款及格式</w:t>
      </w:r>
      <w:r>
        <w:rPr>
          <w:rFonts w:hint="eastAsia" w:eastAsia="宋体"/>
          <w:lang w:val="en-US" w:eastAsia="zh-CN"/>
        </w:rPr>
        <w:t xml:space="preserve">            </w:t>
      </w:r>
      <w:r>
        <w:rPr>
          <w:rFonts w:hint="eastAsia" w:ascii="宋体" w:hAnsi="宋体" w:cs="楷体"/>
          <w:kern w:val="0"/>
          <w:szCs w:val="28"/>
        </w:rPr>
        <w:t>合同编号：</w:t>
      </w:r>
      <w:r>
        <w:rPr>
          <w:rFonts w:ascii="宋体" w:hAnsi="宋体"/>
          <w:szCs w:val="28"/>
        </w:rPr>
        <w:t>     </w:t>
      </w:r>
      <w:r>
        <w:tab/>
      </w:r>
      <w:r>
        <w:fldChar w:fldCharType="begin"/>
      </w:r>
      <w:r>
        <w:instrText xml:space="preserve"> PAGEREF _Toc10619 \h </w:instrText>
      </w:r>
      <w:r>
        <w:fldChar w:fldCharType="separate"/>
      </w:r>
      <w:r>
        <w:t>26</w:t>
      </w:r>
      <w:r>
        <w:fldChar w:fldCharType="end"/>
      </w:r>
      <w:r>
        <w:rPr>
          <w:rFonts w:ascii="宋体" w:hAnsi="宋体"/>
          <w:color w:val="000000" w:themeColor="text1"/>
          <w14:textFill>
            <w14:solidFill>
              <w14:schemeClr w14:val="tx1"/>
            </w14:solidFill>
          </w14:textFill>
        </w:rPr>
        <w:fldChar w:fldCharType="end"/>
      </w:r>
    </w:p>
    <w:p w14:paraId="03C148F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_Toc8208 </w:instrText>
      </w:r>
      <w:r>
        <w:rPr>
          <w:rFonts w:ascii="宋体" w:hAnsi="宋体"/>
        </w:rPr>
        <w:fldChar w:fldCharType="separate"/>
      </w:r>
      <w:r>
        <w:rPr>
          <w:rFonts w:hint="eastAsia" w:ascii="黑体" w:hAnsi="黑体" w:eastAsia="黑体" w:cs="黑体"/>
          <w:bCs/>
          <w:spacing w:val="4"/>
          <w:szCs w:val="44"/>
        </w:rPr>
        <w:t>商品</w:t>
      </w:r>
      <w:r>
        <w:rPr>
          <w:rFonts w:hint="eastAsia" w:ascii="黑体" w:hAnsi="黑体" w:eastAsia="黑体" w:cs="黑体"/>
          <w:bCs/>
          <w:spacing w:val="4"/>
          <w:szCs w:val="44"/>
          <w:lang w:val="en-US" w:eastAsia="zh-CN"/>
        </w:rPr>
        <w:t>混凝土</w:t>
      </w:r>
      <w:r>
        <w:rPr>
          <w:rFonts w:hint="eastAsia" w:ascii="黑体" w:hAnsi="黑体" w:eastAsia="黑体" w:cs="黑体"/>
          <w:bCs/>
          <w:spacing w:val="4"/>
          <w:szCs w:val="44"/>
        </w:rPr>
        <w:t>采购合同</w:t>
      </w:r>
      <w:r>
        <w:tab/>
      </w:r>
      <w:r>
        <w:fldChar w:fldCharType="begin"/>
      </w:r>
      <w:r>
        <w:instrText xml:space="preserve"> PAGEREF _Toc8208 \h </w:instrText>
      </w:r>
      <w:r>
        <w:fldChar w:fldCharType="separate"/>
      </w:r>
      <w:r>
        <w:t>26</w:t>
      </w:r>
      <w:r>
        <w:fldChar w:fldCharType="end"/>
      </w:r>
      <w:r>
        <w:rPr>
          <w:rFonts w:ascii="宋体" w:hAnsi="宋体"/>
          <w:color w:val="000000" w:themeColor="text1"/>
          <w14:textFill>
            <w14:solidFill>
              <w14:schemeClr w14:val="tx1"/>
            </w14:solidFill>
          </w14:textFill>
        </w:rPr>
        <w:fldChar w:fldCharType="end"/>
      </w:r>
    </w:p>
    <w:p w14:paraId="00D79ECD">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_Toc8150 </w:instrText>
      </w:r>
      <w:r>
        <w:rPr>
          <w:rFonts w:ascii="宋体" w:hAnsi="宋体"/>
        </w:rPr>
        <w:fldChar w:fldCharType="separate"/>
      </w:r>
      <w:r>
        <w:rPr>
          <w:rFonts w:hint="default" w:ascii="宋体" w:hAnsi="宋体" w:eastAsia="宋体" w:cs="宋体"/>
          <w:bCs/>
          <w:spacing w:val="-3"/>
          <w:szCs w:val="21"/>
          <w:lang w:val="en-US" w:eastAsia="en-US"/>
        </w:rPr>
        <w:t>合同编号：</w:t>
      </w:r>
      <w:r>
        <w:tab/>
      </w:r>
      <w:r>
        <w:fldChar w:fldCharType="begin"/>
      </w:r>
      <w:r>
        <w:instrText xml:space="preserve"> PAGEREF _Toc8150 \h </w:instrText>
      </w:r>
      <w:r>
        <w:fldChar w:fldCharType="separate"/>
      </w:r>
      <w:r>
        <w:t>26</w:t>
      </w:r>
      <w:r>
        <w:fldChar w:fldCharType="end"/>
      </w:r>
      <w:r>
        <w:rPr>
          <w:rFonts w:ascii="宋体" w:hAnsi="宋体"/>
          <w:color w:val="000000" w:themeColor="text1"/>
          <w14:textFill>
            <w14:solidFill>
              <w14:schemeClr w14:val="tx1"/>
            </w14:solidFill>
          </w14:textFill>
        </w:rPr>
        <w:fldChar w:fldCharType="end"/>
      </w:r>
    </w:p>
    <w:p w14:paraId="226B3AEA">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_Toc1571 </w:instrText>
      </w:r>
      <w:r>
        <w:rPr>
          <w:rFonts w:ascii="宋体" w:hAnsi="宋体"/>
        </w:rPr>
        <w:fldChar w:fldCharType="separate"/>
      </w:r>
      <w:r>
        <w:rPr>
          <w:bCs/>
          <w:spacing w:val="8"/>
        </w:rPr>
        <w:t>第一条：产品名称、</w:t>
      </w:r>
      <w:r>
        <w:rPr>
          <w:rFonts w:hint="eastAsia"/>
          <w:bCs/>
          <w:spacing w:val="8"/>
          <w:lang w:val="en-US" w:eastAsia="zh-CN"/>
        </w:rPr>
        <w:t>规格</w:t>
      </w:r>
      <w:r>
        <w:rPr>
          <w:bCs/>
          <w:spacing w:val="8"/>
        </w:rPr>
        <w:t>、数量、金额</w:t>
      </w:r>
      <w:r>
        <w:tab/>
      </w:r>
      <w:r>
        <w:fldChar w:fldCharType="begin"/>
      </w:r>
      <w:r>
        <w:instrText xml:space="preserve"> PAGEREF _Toc1571 \h </w:instrText>
      </w:r>
      <w:r>
        <w:fldChar w:fldCharType="separate"/>
      </w:r>
      <w:r>
        <w:t>26</w:t>
      </w:r>
      <w:r>
        <w:fldChar w:fldCharType="end"/>
      </w:r>
      <w:r>
        <w:rPr>
          <w:rFonts w:ascii="宋体" w:hAnsi="宋体"/>
          <w:color w:val="000000" w:themeColor="text1"/>
          <w14:textFill>
            <w14:solidFill>
              <w14:schemeClr w14:val="tx1"/>
            </w14:solidFill>
          </w14:textFill>
        </w:rPr>
        <w:fldChar w:fldCharType="end"/>
      </w:r>
    </w:p>
    <w:p w14:paraId="62DC2983">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_Toc12755 </w:instrText>
      </w:r>
      <w:r>
        <w:rPr>
          <w:rFonts w:ascii="宋体" w:hAnsi="宋体"/>
        </w:rPr>
        <w:fldChar w:fldCharType="separate"/>
      </w:r>
      <w:r>
        <w:rPr>
          <w:bCs/>
          <w:spacing w:val="7"/>
        </w:rPr>
        <w:t>第二条、质量标准和技术要求：</w:t>
      </w:r>
      <w:r>
        <w:tab/>
      </w:r>
      <w:r>
        <w:fldChar w:fldCharType="begin"/>
      </w:r>
      <w:r>
        <w:instrText xml:space="preserve"> PAGEREF _Toc12755 \h </w:instrText>
      </w:r>
      <w:r>
        <w:fldChar w:fldCharType="separate"/>
      </w:r>
      <w:r>
        <w:t>27</w:t>
      </w:r>
      <w:r>
        <w:fldChar w:fldCharType="end"/>
      </w:r>
      <w:r>
        <w:rPr>
          <w:rFonts w:ascii="宋体" w:hAnsi="宋体"/>
          <w:color w:val="000000" w:themeColor="text1"/>
          <w14:textFill>
            <w14:solidFill>
              <w14:schemeClr w14:val="tx1"/>
            </w14:solidFill>
          </w14:textFill>
        </w:rPr>
        <w:fldChar w:fldCharType="end"/>
      </w:r>
    </w:p>
    <w:p w14:paraId="7DA822BD">
      <w:pPr>
        <w:pStyle w:val="9"/>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_Toc9385 </w:instrText>
      </w:r>
      <w:r>
        <w:rPr>
          <w:rFonts w:ascii="宋体" w:hAnsi="宋体"/>
        </w:rPr>
        <w:fldChar w:fldCharType="separate"/>
      </w:r>
      <w:r>
        <w:rPr>
          <w:bCs/>
          <w:spacing w:val="7"/>
        </w:rPr>
        <w:t>第三条、交货与验收</w:t>
      </w:r>
      <w:r>
        <w:tab/>
      </w:r>
      <w:r>
        <w:fldChar w:fldCharType="begin"/>
      </w:r>
      <w:r>
        <w:instrText xml:space="preserve"> PAGEREF _Toc9385 \h </w:instrText>
      </w:r>
      <w:r>
        <w:fldChar w:fldCharType="separate"/>
      </w:r>
      <w:r>
        <w:t>27</w:t>
      </w:r>
      <w:r>
        <w:fldChar w:fldCharType="end"/>
      </w:r>
      <w:r>
        <w:rPr>
          <w:rFonts w:ascii="宋体" w:hAnsi="宋体"/>
          <w:color w:val="000000" w:themeColor="text1"/>
          <w14:textFill>
            <w14:solidFill>
              <w14:schemeClr w14:val="tx1"/>
            </w14:solidFill>
          </w14:textFill>
        </w:rPr>
        <w:fldChar w:fldCharType="end"/>
      </w:r>
    </w:p>
    <w:p w14:paraId="164A53A7">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_Toc30053 </w:instrText>
      </w:r>
      <w:r>
        <w:rPr>
          <w:rFonts w:ascii="宋体" w:hAnsi="宋体"/>
        </w:rPr>
        <w:fldChar w:fldCharType="separate"/>
      </w:r>
      <w:r>
        <w:rPr>
          <w:bCs/>
          <w:spacing w:val="7"/>
        </w:rPr>
        <w:t>第四条、材料款支付与结算</w:t>
      </w:r>
      <w:r>
        <w:tab/>
      </w:r>
      <w:r>
        <w:fldChar w:fldCharType="begin"/>
      </w:r>
      <w:r>
        <w:instrText xml:space="preserve"> PAGEREF _Toc30053 \h </w:instrText>
      </w:r>
      <w:r>
        <w:fldChar w:fldCharType="separate"/>
      </w:r>
      <w:r>
        <w:t>28</w:t>
      </w:r>
      <w:r>
        <w:fldChar w:fldCharType="end"/>
      </w:r>
      <w:r>
        <w:rPr>
          <w:rFonts w:ascii="宋体" w:hAnsi="宋体"/>
          <w:color w:val="000000" w:themeColor="text1"/>
          <w14:textFill>
            <w14:solidFill>
              <w14:schemeClr w14:val="tx1"/>
            </w14:solidFill>
          </w14:textFill>
        </w:rPr>
        <w:fldChar w:fldCharType="end"/>
      </w:r>
    </w:p>
    <w:p w14:paraId="2267DF3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_Toc9897 </w:instrText>
      </w:r>
      <w:r>
        <w:rPr>
          <w:rFonts w:ascii="宋体" w:hAnsi="宋体"/>
        </w:rPr>
        <w:fldChar w:fldCharType="separate"/>
      </w:r>
      <w:r>
        <w:rPr>
          <w:rFonts w:hint="eastAsia" w:ascii="宋体" w:hAnsi="宋体"/>
          <w:bCs w:val="0"/>
        </w:rPr>
        <w:t>第二卷</w:t>
      </w:r>
      <w:r>
        <w:tab/>
      </w:r>
      <w:r>
        <w:fldChar w:fldCharType="begin"/>
      </w:r>
      <w:r>
        <w:instrText xml:space="preserve"> PAGEREF _Toc9897 \h </w:instrText>
      </w:r>
      <w:r>
        <w:fldChar w:fldCharType="separate"/>
      </w:r>
      <w:r>
        <w:t>32</w:t>
      </w:r>
      <w:r>
        <w:fldChar w:fldCharType="end"/>
      </w:r>
      <w:r>
        <w:rPr>
          <w:rFonts w:ascii="宋体" w:hAnsi="宋体"/>
          <w:color w:val="000000" w:themeColor="text1"/>
          <w14:textFill>
            <w14:solidFill>
              <w14:schemeClr w14:val="tx1"/>
            </w14:solidFill>
          </w14:textFill>
        </w:rPr>
        <w:fldChar w:fldCharType="end"/>
      </w:r>
    </w:p>
    <w:p w14:paraId="6E4942B3">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_Toc2795 </w:instrText>
      </w:r>
      <w:r>
        <w:rPr>
          <w:rFonts w:ascii="宋体" w:hAnsi="宋体"/>
        </w:rPr>
        <w:fldChar w:fldCharType="separate"/>
      </w:r>
      <w:r>
        <w:rPr>
          <w:rFonts w:hint="eastAsia" w:ascii="宋体" w:hAnsi="宋体"/>
          <w:bCs w:val="0"/>
        </w:rPr>
        <w:t>第五章 招标工程量清单</w:t>
      </w:r>
      <w:r>
        <w:tab/>
      </w:r>
      <w:r>
        <w:fldChar w:fldCharType="begin"/>
      </w:r>
      <w:r>
        <w:instrText xml:space="preserve"> PAGEREF _Toc2795 \h </w:instrText>
      </w:r>
      <w:r>
        <w:fldChar w:fldCharType="separate"/>
      </w:r>
      <w:r>
        <w:t>33</w:t>
      </w:r>
      <w:r>
        <w:fldChar w:fldCharType="end"/>
      </w:r>
      <w:r>
        <w:rPr>
          <w:rFonts w:ascii="宋体" w:hAnsi="宋体"/>
          <w:color w:val="000000" w:themeColor="text1"/>
          <w14:textFill>
            <w14:solidFill>
              <w14:schemeClr w14:val="tx1"/>
            </w14:solidFill>
          </w14:textFill>
        </w:rPr>
        <w:fldChar w:fldCharType="end"/>
      </w:r>
    </w:p>
    <w:p w14:paraId="202D837E">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_Toc3752 </w:instrText>
      </w:r>
      <w:r>
        <w:rPr>
          <w:rFonts w:ascii="宋体" w:hAnsi="宋体"/>
        </w:rPr>
        <w:fldChar w:fldCharType="separate"/>
      </w:r>
      <w:r>
        <w:rPr>
          <w:rFonts w:hint="eastAsia" w:ascii="宋体" w:hAnsi="宋体"/>
          <w:bCs w:val="0"/>
        </w:rPr>
        <w:t>第六章  图  纸</w:t>
      </w:r>
      <w:r>
        <w:tab/>
      </w:r>
      <w:r>
        <w:fldChar w:fldCharType="begin"/>
      </w:r>
      <w:r>
        <w:instrText xml:space="preserve"> PAGEREF _Toc3752 \h </w:instrText>
      </w:r>
      <w:r>
        <w:fldChar w:fldCharType="separate"/>
      </w:r>
      <w:r>
        <w:t>34</w:t>
      </w:r>
      <w:r>
        <w:fldChar w:fldCharType="end"/>
      </w:r>
      <w:r>
        <w:rPr>
          <w:rFonts w:ascii="宋体" w:hAnsi="宋体"/>
          <w:color w:val="000000" w:themeColor="text1"/>
          <w14:textFill>
            <w14:solidFill>
              <w14:schemeClr w14:val="tx1"/>
            </w14:solidFill>
          </w14:textFill>
        </w:rPr>
        <w:fldChar w:fldCharType="end"/>
      </w:r>
    </w:p>
    <w:p w14:paraId="7F1D1929">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_Toc26578 </w:instrText>
      </w:r>
      <w:r>
        <w:rPr>
          <w:rFonts w:ascii="宋体" w:hAnsi="宋体"/>
        </w:rPr>
        <w:fldChar w:fldCharType="separate"/>
      </w:r>
      <w:r>
        <w:rPr>
          <w:rFonts w:hint="eastAsia" w:ascii="宋体" w:hAnsi="宋体"/>
          <w:bCs w:val="0"/>
        </w:rPr>
        <w:t>第三卷</w:t>
      </w:r>
      <w:r>
        <w:tab/>
      </w:r>
      <w:r>
        <w:fldChar w:fldCharType="begin"/>
      </w:r>
      <w:r>
        <w:instrText xml:space="preserve"> PAGEREF _Toc26578 \h </w:instrText>
      </w:r>
      <w:r>
        <w:fldChar w:fldCharType="separate"/>
      </w:r>
      <w:r>
        <w:t>35</w:t>
      </w:r>
      <w:r>
        <w:fldChar w:fldCharType="end"/>
      </w:r>
      <w:r>
        <w:rPr>
          <w:rFonts w:ascii="宋体" w:hAnsi="宋体"/>
          <w:color w:val="000000" w:themeColor="text1"/>
          <w14:textFill>
            <w14:solidFill>
              <w14:schemeClr w14:val="tx1"/>
            </w14:solidFill>
          </w14:textFill>
        </w:rPr>
        <w:fldChar w:fldCharType="end"/>
      </w:r>
    </w:p>
    <w:p w14:paraId="4C88C295">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_Toc3423 </w:instrText>
      </w:r>
      <w:r>
        <w:rPr>
          <w:rFonts w:ascii="宋体" w:hAnsi="宋体"/>
        </w:rPr>
        <w:fldChar w:fldCharType="separate"/>
      </w:r>
      <w:r>
        <w:rPr>
          <w:rFonts w:hint="eastAsia" w:ascii="宋体" w:hAnsi="宋体"/>
          <w:bCs w:val="0"/>
        </w:rPr>
        <w:t>第七章  技术标准和要求</w:t>
      </w:r>
      <w:r>
        <w:tab/>
      </w:r>
      <w:r>
        <w:fldChar w:fldCharType="begin"/>
      </w:r>
      <w:r>
        <w:instrText xml:space="preserve"> PAGEREF _Toc3423 \h </w:instrText>
      </w:r>
      <w:r>
        <w:fldChar w:fldCharType="separate"/>
      </w:r>
      <w:r>
        <w:t>36</w:t>
      </w:r>
      <w:r>
        <w:fldChar w:fldCharType="end"/>
      </w:r>
      <w:r>
        <w:rPr>
          <w:rFonts w:ascii="宋体" w:hAnsi="宋体"/>
          <w:color w:val="000000" w:themeColor="text1"/>
          <w14:textFill>
            <w14:solidFill>
              <w14:schemeClr w14:val="tx1"/>
            </w14:solidFill>
          </w14:textFill>
        </w:rPr>
        <w:fldChar w:fldCharType="end"/>
      </w:r>
    </w:p>
    <w:p w14:paraId="0C4C423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_Toc12042 </w:instrText>
      </w:r>
      <w:r>
        <w:rPr>
          <w:rFonts w:ascii="宋体" w:hAnsi="宋体"/>
        </w:rPr>
        <w:fldChar w:fldCharType="separate"/>
      </w:r>
      <w:r>
        <w:rPr>
          <w:rFonts w:hint="eastAsia" w:ascii="宋体" w:hAnsi="宋体"/>
          <w:bCs w:val="0"/>
        </w:rPr>
        <w:t>第四卷</w:t>
      </w:r>
      <w:r>
        <w:tab/>
      </w:r>
      <w:r>
        <w:fldChar w:fldCharType="begin"/>
      </w:r>
      <w:r>
        <w:instrText xml:space="preserve"> PAGEREF _Toc12042 \h </w:instrText>
      </w:r>
      <w:r>
        <w:fldChar w:fldCharType="separate"/>
      </w:r>
      <w:r>
        <w:t>37</w:t>
      </w:r>
      <w:r>
        <w:fldChar w:fldCharType="end"/>
      </w:r>
      <w:r>
        <w:rPr>
          <w:rFonts w:ascii="宋体" w:hAnsi="宋体"/>
          <w:color w:val="000000" w:themeColor="text1"/>
          <w14:textFill>
            <w14:solidFill>
              <w14:schemeClr w14:val="tx1"/>
            </w14:solidFill>
          </w14:textFill>
        </w:rPr>
        <w:fldChar w:fldCharType="end"/>
      </w:r>
    </w:p>
    <w:p w14:paraId="7EA16447">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_Toc25286 </w:instrText>
      </w:r>
      <w:r>
        <w:rPr>
          <w:rFonts w:ascii="宋体" w:hAnsi="宋体"/>
        </w:rPr>
        <w:fldChar w:fldCharType="separate"/>
      </w:r>
      <w:r>
        <w:rPr>
          <w:rFonts w:hint="eastAsia" w:ascii="宋体" w:hAnsi="宋体"/>
          <w:bCs w:val="0"/>
        </w:rPr>
        <w:t>第八章  投标文件格式</w:t>
      </w:r>
      <w:r>
        <w:tab/>
      </w:r>
      <w:r>
        <w:fldChar w:fldCharType="begin"/>
      </w:r>
      <w:r>
        <w:instrText xml:space="preserve"> PAGEREF _Toc25286 \h </w:instrText>
      </w:r>
      <w:r>
        <w:fldChar w:fldCharType="separate"/>
      </w:r>
      <w:r>
        <w:t>38</w:t>
      </w:r>
      <w:r>
        <w:fldChar w:fldCharType="end"/>
      </w:r>
      <w:r>
        <w:rPr>
          <w:rFonts w:ascii="宋体" w:hAnsi="宋体"/>
          <w:color w:val="000000" w:themeColor="text1"/>
          <w14:textFill>
            <w14:solidFill>
              <w14:schemeClr w14:val="tx1"/>
            </w14:solidFill>
          </w14:textFill>
        </w:rPr>
        <w:fldChar w:fldCharType="end"/>
      </w:r>
    </w:p>
    <w:p w14:paraId="2F929950">
      <w:pPr>
        <w:pStyle w:val="13"/>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_Toc20036 </w:instrText>
      </w:r>
      <w:r>
        <w:rPr>
          <w:rFonts w:ascii="宋体" w:hAnsi="宋体"/>
        </w:rPr>
        <w:fldChar w:fldCharType="separate"/>
      </w:r>
      <w:r>
        <w:rPr>
          <w:rFonts w:hint="eastAsia" w:ascii="宋体" w:hAnsi="宋体" w:cs="宋体"/>
          <w:szCs w:val="28"/>
        </w:rPr>
        <w:t>（商务标）</w:t>
      </w:r>
      <w:r>
        <w:tab/>
      </w:r>
      <w:r>
        <w:fldChar w:fldCharType="begin"/>
      </w:r>
      <w:r>
        <w:instrText xml:space="preserve"> PAGEREF _Toc20036 \h </w:instrText>
      </w:r>
      <w:r>
        <w:fldChar w:fldCharType="separate"/>
      </w:r>
      <w:r>
        <w:t>39</w:t>
      </w:r>
      <w:r>
        <w:fldChar w:fldCharType="end"/>
      </w:r>
      <w:r>
        <w:rPr>
          <w:rFonts w:ascii="宋体" w:hAnsi="宋体"/>
          <w:color w:val="000000" w:themeColor="text1"/>
          <w14:textFill>
            <w14:solidFill>
              <w14:schemeClr w14:val="tx1"/>
            </w14:solidFill>
          </w14:textFill>
        </w:rPr>
        <w:fldChar w:fldCharType="end"/>
      </w:r>
    </w:p>
    <w:p w14:paraId="10242C70">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_Toc17639 </w:instrText>
      </w:r>
      <w:r>
        <w:rPr>
          <w:rFonts w:ascii="宋体" w:hAnsi="宋体"/>
        </w:rPr>
        <w:fldChar w:fldCharType="separate"/>
      </w:r>
      <w:r>
        <w:rPr>
          <w:rFonts w:ascii="Arial" w:hAnsi="Arial" w:eastAsia="宋体" w:cs="Arial"/>
          <w:highlight w:val="none"/>
        </w:rPr>
        <w:t>一、投标函</w:t>
      </w:r>
      <w:r>
        <w:tab/>
      </w:r>
      <w:r>
        <w:fldChar w:fldCharType="begin"/>
      </w:r>
      <w:r>
        <w:instrText xml:space="preserve"> PAGEREF _Toc17639 \h </w:instrText>
      </w:r>
      <w:r>
        <w:fldChar w:fldCharType="separate"/>
      </w:r>
      <w:r>
        <w:t>40</w:t>
      </w:r>
      <w:r>
        <w:fldChar w:fldCharType="end"/>
      </w:r>
      <w:r>
        <w:rPr>
          <w:rFonts w:ascii="宋体" w:hAnsi="宋体"/>
          <w:color w:val="000000" w:themeColor="text1"/>
          <w14:textFill>
            <w14:solidFill>
              <w14:schemeClr w14:val="tx1"/>
            </w14:solidFill>
          </w14:textFill>
        </w:rPr>
        <w:fldChar w:fldCharType="end"/>
      </w:r>
    </w:p>
    <w:p w14:paraId="784A96EE">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_Toc3612 </w:instrText>
      </w:r>
      <w:r>
        <w:rPr>
          <w:rFonts w:ascii="宋体" w:hAnsi="宋体"/>
        </w:rPr>
        <w:fldChar w:fldCharType="separate"/>
      </w:r>
      <w:r>
        <w:rPr>
          <w:rFonts w:hint="eastAsia" w:eastAsia="宋体" w:cs="Arial"/>
        </w:rPr>
        <w:t>1）</w:t>
      </w:r>
      <w:r>
        <w:rPr>
          <w:rFonts w:eastAsia="宋体" w:cs="Arial"/>
        </w:rPr>
        <w:t>法定代表人（单位负责人）身份证明</w:t>
      </w:r>
      <w:r>
        <w:tab/>
      </w:r>
      <w:r>
        <w:fldChar w:fldCharType="begin"/>
      </w:r>
      <w:r>
        <w:instrText xml:space="preserve"> PAGEREF _Toc3612 \h </w:instrText>
      </w:r>
      <w:r>
        <w:fldChar w:fldCharType="separate"/>
      </w:r>
      <w:r>
        <w:t>41</w:t>
      </w:r>
      <w:r>
        <w:fldChar w:fldCharType="end"/>
      </w:r>
      <w:r>
        <w:rPr>
          <w:rFonts w:ascii="宋体" w:hAnsi="宋体"/>
          <w:color w:val="000000" w:themeColor="text1"/>
          <w14:textFill>
            <w14:solidFill>
              <w14:schemeClr w14:val="tx1"/>
            </w14:solidFill>
          </w14:textFill>
        </w:rPr>
        <w:fldChar w:fldCharType="end"/>
      </w:r>
    </w:p>
    <w:p w14:paraId="2FFD53A0">
      <w:pPr>
        <w:pStyle w:val="15"/>
        <w:tabs>
          <w:tab w:val="right" w:leader="dot" w:pos="9320"/>
        </w:tabs>
      </w:pPr>
      <w:r>
        <w:rPr>
          <w:rFonts w:ascii="宋体" w:hAnsi="宋体"/>
          <w:color w:val="000000" w:themeColor="text1"/>
          <w14:textFill>
            <w14:solidFill>
              <w14:schemeClr w14:val="tx1"/>
            </w14:solidFill>
          </w14:textFill>
        </w:rPr>
        <w:fldChar w:fldCharType="begin"/>
      </w:r>
      <w:r>
        <w:rPr>
          <w:rFonts w:ascii="宋体" w:hAnsi="宋体"/>
        </w:rPr>
        <w:instrText xml:space="preserve"> HYPERLINK \l _Toc25043 </w:instrText>
      </w:r>
      <w:r>
        <w:rPr>
          <w:rFonts w:ascii="宋体" w:hAnsi="宋体"/>
        </w:rPr>
        <w:fldChar w:fldCharType="separate"/>
      </w:r>
      <w:r>
        <w:rPr>
          <w:rFonts w:hint="eastAsia" w:eastAsia="宋体" w:cs="Arial"/>
        </w:rPr>
        <w:t>2）</w:t>
      </w:r>
      <w:r>
        <w:rPr>
          <w:rFonts w:eastAsia="宋体" w:cs="Arial"/>
        </w:rPr>
        <w:t>授权委托书</w:t>
      </w:r>
      <w:r>
        <w:tab/>
      </w:r>
      <w:r>
        <w:fldChar w:fldCharType="begin"/>
      </w:r>
      <w:r>
        <w:instrText xml:space="preserve"> PAGEREF _Toc25043 \h </w:instrText>
      </w:r>
      <w:r>
        <w:fldChar w:fldCharType="separate"/>
      </w:r>
      <w:r>
        <w:t>42</w:t>
      </w:r>
      <w:r>
        <w:fldChar w:fldCharType="end"/>
      </w:r>
      <w:r>
        <w:rPr>
          <w:rFonts w:ascii="宋体" w:hAnsi="宋体"/>
          <w:color w:val="000000" w:themeColor="text1"/>
          <w14:textFill>
            <w14:solidFill>
              <w14:schemeClr w14:val="tx1"/>
            </w14:solidFill>
          </w14:textFill>
        </w:rPr>
        <w:fldChar w:fldCharType="end"/>
      </w:r>
    </w:p>
    <w:p w14:paraId="481D963C">
      <w:pP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fldChar w:fldCharType="end"/>
      </w:r>
      <w:bookmarkEnd w:id="0"/>
      <w:bookmarkEnd w:id="1"/>
    </w:p>
    <w:p w14:paraId="238A092E">
      <w:pPr>
        <w:topLinePunct/>
        <w:spacing w:line="400" w:lineRule="exact"/>
        <w:ind w:firstLine="420" w:firstLineChars="200"/>
        <w:rPr>
          <w:rFonts w:hint="eastAsia" w:ascii="宋体" w:hAnsi="宋体"/>
          <w:color w:val="000000" w:themeColor="text1"/>
          <w:szCs w:val="21"/>
          <w14:textFill>
            <w14:solidFill>
              <w14:schemeClr w14:val="tx1"/>
            </w14:solidFill>
          </w14:textFill>
        </w:rPr>
      </w:pPr>
      <w:bookmarkStart w:id="2" w:name="_Toc152045511"/>
      <w:bookmarkStart w:id="3" w:name="_Toc152042287"/>
      <w:bookmarkStart w:id="4" w:name="_Toc144974479"/>
    </w:p>
    <w:p w14:paraId="3702FC10">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784FEC1D">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57D04240">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33CAE348">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5F0FB9B8">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1D881CBF">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51BF24DA">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205E24F4">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1605C898">
      <w:pPr>
        <w:topLinePunct/>
        <w:spacing w:line="400" w:lineRule="exact"/>
        <w:ind w:firstLine="420" w:firstLineChars="200"/>
        <w:rPr>
          <w:rFonts w:hint="eastAsia" w:ascii="宋体" w:hAnsi="宋体"/>
          <w:color w:val="000000" w:themeColor="text1"/>
          <w:szCs w:val="21"/>
          <w14:textFill>
            <w14:solidFill>
              <w14:schemeClr w14:val="tx1"/>
            </w14:solidFill>
          </w14:textFill>
        </w:rPr>
      </w:pPr>
    </w:p>
    <w:p w14:paraId="75C91C42">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sectPr>
          <w:footerReference r:id="rId3" w:type="default"/>
          <w:pgSz w:w="11900" w:h="16840"/>
          <w:pgMar w:top="1260" w:right="1440" w:bottom="180" w:left="1140" w:header="0" w:footer="0" w:gutter="0"/>
          <w:pgNumType w:start="1"/>
          <w:cols w:space="720" w:num="1"/>
        </w:sectPr>
      </w:pPr>
      <w:bookmarkStart w:id="5" w:name="_Toc34814172"/>
      <w:bookmarkStart w:id="6" w:name="_Toc27986204"/>
      <w:bookmarkStart w:id="7" w:name="_Toc149206219"/>
    </w:p>
    <w:p w14:paraId="094E7B08">
      <w:pPr>
        <w:rPr>
          <w:rFonts w:hint="eastAsia"/>
          <w:color w:val="000000" w:themeColor="text1"/>
          <w14:textFill>
            <w14:solidFill>
              <w14:schemeClr w14:val="tx1"/>
            </w14:solidFill>
          </w14:textFill>
        </w:rPr>
      </w:pPr>
    </w:p>
    <w:p w14:paraId="47E95585">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4BB6149">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514018DC">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6CAF252">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771C9C5">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54EB434">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D6C3C46">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228904A8">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2F4FAB4">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94D1AD5">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71F5914F">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358279A4">
      <w:pPr>
        <w:pStyle w:val="2"/>
        <w:spacing w:before="120" w:after="120" w:line="400" w:lineRule="exact"/>
        <w:jc w:val="center"/>
        <w:rPr>
          <w:rFonts w:hint="eastAsia" w:ascii="宋体" w:hAnsi="宋体" w:cs="宋体"/>
          <w:b w:val="0"/>
          <w:bCs w:val="0"/>
          <w:color w:val="000000" w:themeColor="text1"/>
          <w:sz w:val="32"/>
          <w:szCs w:val="32"/>
          <w14:textFill>
            <w14:solidFill>
              <w14:schemeClr w14:val="tx1"/>
            </w14:solidFill>
          </w14:textFill>
        </w:rPr>
      </w:pPr>
      <w:bookmarkStart w:id="8" w:name="_Toc9252"/>
      <w:r>
        <w:rPr>
          <w:rFonts w:hint="eastAsia" w:ascii="宋体" w:hAnsi="宋体"/>
          <w:b w:val="0"/>
          <w:bCs w:val="0"/>
          <w:color w:val="000000" w:themeColor="text1"/>
          <w:sz w:val="32"/>
          <w14:textFill>
            <w14:solidFill>
              <w14:schemeClr w14:val="tx1"/>
            </w14:solidFill>
          </w14:textFill>
        </w:rPr>
        <w:t>第一卷</w:t>
      </w:r>
      <w:bookmarkEnd w:id="5"/>
      <w:bookmarkEnd w:id="6"/>
      <w:r>
        <w:rPr>
          <w:rFonts w:ascii="宋体" w:hAnsi="宋体"/>
          <w:b w:val="0"/>
          <w:bCs w:val="0"/>
          <w:color w:val="000000" w:themeColor="text1"/>
          <w:sz w:val="32"/>
          <w14:textFill>
            <w14:solidFill>
              <w14:schemeClr w14:val="tx1"/>
            </w14:solidFill>
          </w14:textFill>
        </w:rPr>
        <w:br w:type="page"/>
      </w:r>
      <w:bookmarkStart w:id="9" w:name="_Toc27986205"/>
      <w:bookmarkStart w:id="10" w:name="_Toc34814173"/>
      <w:bookmarkStart w:id="11" w:name="_Toc149206220"/>
      <w:bookmarkStart w:id="12" w:name="_Toc17708224"/>
      <w:r>
        <w:rPr>
          <w:rFonts w:hint="eastAsia" w:ascii="宋体" w:hAnsi="宋体" w:cs="宋体"/>
          <w:color w:val="000000" w:themeColor="text1"/>
          <w:sz w:val="32"/>
          <w:szCs w:val="32"/>
          <w14:textFill>
            <w14:solidFill>
              <w14:schemeClr w14:val="tx1"/>
            </w14:solidFill>
          </w14:textFill>
        </w:rPr>
        <w:t xml:space="preserve">第一章  </w:t>
      </w:r>
      <w:bookmarkEnd w:id="9"/>
      <w:bookmarkEnd w:id="10"/>
      <w:r>
        <w:rPr>
          <w:rFonts w:hint="eastAsia" w:ascii="宋体" w:hAnsi="宋体" w:cs="宋体"/>
          <w:color w:val="000000" w:themeColor="text1"/>
          <w:sz w:val="32"/>
          <w:szCs w:val="32"/>
          <w14:textFill>
            <w14:solidFill>
              <w14:schemeClr w14:val="tx1"/>
            </w14:solidFill>
          </w14:textFill>
        </w:rPr>
        <w:t>招标公告</w:t>
      </w:r>
      <w:bookmarkEnd w:id="7"/>
      <w:bookmarkEnd w:id="8"/>
      <w:bookmarkEnd w:id="11"/>
    </w:p>
    <w:p w14:paraId="2A200714">
      <w:pPr>
        <w:pStyle w:val="22"/>
        <w:spacing w:before="0" w:line="360" w:lineRule="auto"/>
        <w:ind w:firstLine="361" w:firstLineChars="100"/>
        <w:jc w:val="center"/>
        <w:rPr>
          <w:rFonts w:ascii="宋体" w:hAnsi="宋体"/>
          <w:b/>
          <w:bCs/>
          <w:color w:val="000000" w:themeColor="text1"/>
          <w:sz w:val="36"/>
          <w:szCs w:val="36"/>
          <w14:textFill>
            <w14:solidFill>
              <w14:schemeClr w14:val="tx1"/>
            </w14:solidFill>
          </w14:textFill>
        </w:rPr>
      </w:pPr>
      <w:bookmarkStart w:id="13" w:name="_Toc149206221"/>
      <w:bookmarkStart w:id="14" w:name="_Toc10467"/>
      <w:bookmarkStart w:id="15" w:name="_Toc149206073"/>
      <w:bookmarkStart w:id="16" w:name="_Toc149205778"/>
      <w:bookmarkStart w:id="17" w:name="_Toc9638"/>
      <w:bookmarkStart w:id="18" w:name="_Toc10028"/>
      <w:bookmarkStart w:id="19" w:name="_Toc8371"/>
      <w:bookmarkStart w:id="20" w:name="_Toc152042288"/>
      <w:bookmarkStart w:id="21" w:name="_Toc144974480"/>
      <w:bookmarkStart w:id="22" w:name="_Toc4023"/>
      <w:bookmarkStart w:id="23" w:name="_Toc31882"/>
      <w:bookmarkStart w:id="24" w:name="_Toc17708225"/>
      <w:bookmarkStart w:id="25" w:name="_Toc69214543"/>
      <w:bookmarkStart w:id="26" w:name="_Toc152045512"/>
      <w:r>
        <w:rPr>
          <w:rFonts w:hint="eastAsia" w:ascii="Arial" w:hAnsi="Arial" w:cs="Arial"/>
          <w:b/>
          <w:bCs/>
          <w:color w:val="000000" w:themeColor="text1"/>
          <w:sz w:val="36"/>
          <w:szCs w:val="36"/>
          <w:lang w:val="en-US" w:eastAsia="zh-CN"/>
          <w14:textFill>
            <w14:solidFill>
              <w14:schemeClr w14:val="tx1"/>
            </w14:solidFill>
          </w14:textFill>
        </w:rPr>
        <w:t>洞头区陆域引调水工程二期（金海三道段、滨海十八路段、滨海大道东段和西段）</w:t>
      </w:r>
      <w:r>
        <w:rPr>
          <w:rFonts w:hint="eastAsia" w:ascii="宋体" w:hAnsi="宋体"/>
          <w:b/>
          <w:bCs/>
          <w:color w:val="000000" w:themeColor="text1"/>
          <w:sz w:val="36"/>
          <w:szCs w:val="36"/>
          <w:lang w:eastAsia="zh-CN"/>
          <w14:textFill>
            <w14:solidFill>
              <w14:schemeClr w14:val="tx1"/>
            </w14:solidFill>
          </w14:textFill>
        </w:rPr>
        <w:t>商品砼</w:t>
      </w:r>
      <w:r>
        <w:rPr>
          <w:rFonts w:hint="eastAsia" w:ascii="Arial" w:hAnsi="Arial" w:cs="Arial"/>
          <w:b/>
          <w:bCs/>
          <w:color w:val="000000" w:themeColor="text1"/>
          <w:sz w:val="36"/>
          <w:szCs w:val="36"/>
          <w14:textFill>
            <w14:solidFill>
              <w14:schemeClr w14:val="tx1"/>
            </w14:solidFill>
          </w14:textFill>
        </w:rPr>
        <w:t>招标公告</w:t>
      </w:r>
      <w:bookmarkEnd w:id="13"/>
      <w:bookmarkEnd w:id="14"/>
      <w:bookmarkEnd w:id="15"/>
      <w:bookmarkEnd w:id="16"/>
      <w:bookmarkEnd w:id="17"/>
    </w:p>
    <w:p w14:paraId="71CFA067">
      <w:pPr>
        <w:spacing w:line="360" w:lineRule="auto"/>
        <w:ind w:firstLine="422" w:firstLineChars="200"/>
        <w:rPr>
          <w:rFonts w:ascii="宋体" w:hAnsi="宋体"/>
          <w:b/>
          <w:color w:val="000000" w:themeColor="text1"/>
          <w:sz w:val="21"/>
          <w:szCs w:val="21"/>
          <w14:textFill>
            <w14:solidFill>
              <w14:schemeClr w14:val="tx1"/>
            </w14:solidFill>
          </w14:textFill>
        </w:rPr>
      </w:pPr>
      <w:bookmarkStart w:id="27" w:name="_Toc192"/>
      <w:r>
        <w:rPr>
          <w:rFonts w:ascii="宋体" w:hAnsi="宋体"/>
          <w:b/>
          <w:color w:val="000000" w:themeColor="text1"/>
          <w:sz w:val="21"/>
          <w:szCs w:val="21"/>
          <w14:textFill>
            <w14:solidFill>
              <w14:schemeClr w14:val="tx1"/>
            </w14:solidFill>
          </w14:textFill>
        </w:rPr>
        <w:t>1. 招标条件</w:t>
      </w:r>
    </w:p>
    <w:p w14:paraId="05546F7D">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本招标项目</w:t>
      </w:r>
      <w:r>
        <w:rPr>
          <w:rFonts w:hint="eastAsia" w:ascii="宋体" w:hAnsi="宋体" w:cs="宋体"/>
          <w:color w:val="000000" w:themeColor="text1"/>
          <w:sz w:val="21"/>
          <w:szCs w:val="21"/>
          <w:lang w:val="en-US" w:eastAsia="zh-CN"/>
          <w14:textFill>
            <w14:solidFill>
              <w14:schemeClr w14:val="tx1"/>
            </w14:solidFill>
          </w14:textFill>
        </w:rPr>
        <w:t>温州市龙湾区洞头区陆域引调水工程二期</w:t>
      </w:r>
      <w:r>
        <w:rPr>
          <w:rFonts w:hint="eastAsia" w:ascii="宋体" w:hAnsi="宋体" w:eastAsia="宋体" w:cs="宋体"/>
          <w:b w:val="0"/>
          <w:bCs w:val="0"/>
          <w:color w:val="000000" w:themeColor="text1"/>
          <w:sz w:val="21"/>
          <w:szCs w:val="21"/>
          <w:lang w:eastAsia="zh-CN"/>
          <w14:textFill>
            <w14:solidFill>
              <w14:schemeClr w14:val="tx1"/>
            </w14:solidFill>
          </w14:textFill>
        </w:rPr>
        <w:t>商品砼</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项目已具备招标条件，招标人为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温州市市政工程建设开发有限公司</w:t>
      </w:r>
      <w:r>
        <w:rPr>
          <w:rFonts w:hint="eastAsia" w:ascii="宋体" w:hAnsi="宋体" w:eastAsia="宋体" w:cs="宋体"/>
          <w:i w:val="0"/>
          <w:iCs w:val="0"/>
          <w:caps w:val="0"/>
          <w:color w:val="000000" w:themeColor="text1"/>
          <w:spacing w:val="0"/>
          <w:sz w:val="21"/>
          <w:szCs w:val="21"/>
          <w14:textFill>
            <w14:solidFill>
              <w14:schemeClr w14:val="tx1"/>
            </w14:solidFill>
          </w14:textFill>
        </w:rPr>
        <w:t>。项目已具备招标条件，现对该项目进行公开招标</w:t>
      </w:r>
      <w:r>
        <w:rPr>
          <w:rFonts w:hint="eastAsia" w:ascii="宋体" w:hAnsi="宋体" w:eastAsia="宋体" w:cs="宋体"/>
          <w:color w:val="000000" w:themeColor="text1"/>
          <w:sz w:val="21"/>
          <w:szCs w:val="21"/>
          <w14:textFill>
            <w14:solidFill>
              <w14:schemeClr w14:val="tx1"/>
            </w14:solidFill>
          </w14:textFill>
        </w:rPr>
        <w:t>。</w:t>
      </w:r>
    </w:p>
    <w:p w14:paraId="4DF6436C">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2. 项目概况与招标范围</w:t>
      </w:r>
    </w:p>
    <w:p w14:paraId="69E5BB9D">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2.1本项目位于温州市</w:t>
      </w:r>
      <w:r>
        <w:rPr>
          <w:rFonts w:hint="eastAsia" w:ascii="宋体" w:hAnsi="宋体" w:cs="宋体"/>
          <w:color w:val="000000" w:themeColor="text1"/>
          <w:sz w:val="21"/>
          <w:szCs w:val="21"/>
          <w:lang w:val="en-US" w:eastAsia="zh-CN"/>
          <w14:textFill>
            <w14:solidFill>
              <w14:schemeClr w14:val="tx1"/>
            </w14:solidFill>
          </w14:textFill>
        </w:rPr>
        <w:t>龙湾区</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p w14:paraId="5C15ECEA">
      <w:pPr>
        <w:spacing w:line="360" w:lineRule="auto"/>
        <w:ind w:firstLine="420" w:firstLineChars="200"/>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2.2招标范围：</w:t>
      </w:r>
      <w:r>
        <w:rPr>
          <w:rFonts w:hint="eastAsia" w:ascii="宋体" w:hAnsi="宋体" w:eastAsia="宋体" w:cs="宋体"/>
          <w:color w:val="000000" w:themeColor="text1"/>
          <w:sz w:val="21"/>
          <w:szCs w:val="21"/>
          <w:lang w:val="en-US" w:eastAsia="zh-CN"/>
          <w14:textFill>
            <w14:solidFill>
              <w14:schemeClr w14:val="tx1"/>
            </w14:solidFill>
          </w14:textFill>
        </w:rPr>
        <w:t>商品</w:t>
      </w:r>
      <w:r>
        <w:rPr>
          <w:rFonts w:hint="eastAsia" w:ascii="宋体" w:hAnsi="宋体" w:cs="宋体"/>
          <w:color w:val="000000" w:themeColor="text1"/>
          <w:sz w:val="21"/>
          <w:szCs w:val="21"/>
          <w:lang w:val="en-US" w:eastAsia="zh-CN"/>
          <w14:textFill>
            <w14:solidFill>
              <w14:schemeClr w14:val="tx1"/>
            </w14:solidFill>
          </w14:textFill>
        </w:rPr>
        <w:t>砼</w:t>
      </w:r>
      <w:r>
        <w:rPr>
          <w:rFonts w:hint="eastAsia" w:ascii="宋体" w:hAnsi="宋体" w:eastAsia="宋体" w:cs="宋体"/>
          <w:color w:val="000000" w:themeColor="text1"/>
          <w:sz w:val="21"/>
          <w:szCs w:val="21"/>
          <w:lang w:val="en-US" w:eastAsia="zh-CN"/>
          <w14:textFill>
            <w14:solidFill>
              <w14:schemeClr w14:val="tx1"/>
            </w14:solidFill>
          </w14:textFill>
        </w:rPr>
        <w:t>约</w:t>
      </w:r>
      <w:r>
        <w:rPr>
          <w:rFonts w:hint="eastAsia" w:ascii="宋体" w:hAnsi="宋体" w:cs="宋体"/>
          <w:color w:val="000000" w:themeColor="text1"/>
          <w:sz w:val="21"/>
          <w:szCs w:val="21"/>
          <w:lang w:val="en-US" w:eastAsia="zh-CN"/>
          <w14:textFill>
            <w14:solidFill>
              <w14:schemeClr w14:val="tx1"/>
            </w14:solidFill>
          </w14:textFill>
        </w:rPr>
        <w:t>110</w:t>
      </w:r>
      <w:r>
        <w:rPr>
          <w:rFonts w:hint="eastAsia" w:ascii="宋体" w:hAnsi="宋体" w:eastAsia="宋体" w:cs="宋体"/>
          <w:color w:val="000000" w:themeColor="text1"/>
          <w:sz w:val="21"/>
          <w:szCs w:val="21"/>
          <w:lang w:val="en-US" w:eastAsia="zh-CN"/>
          <w14:textFill>
            <w14:solidFill>
              <w14:schemeClr w14:val="tx1"/>
            </w14:solidFill>
          </w14:textFill>
        </w:rPr>
        <w:t>00</w:t>
      </w:r>
      <w:r>
        <w:rPr>
          <w:rFonts w:hint="eastAsia" w:ascii="宋体" w:hAnsi="宋体" w:cs="宋体"/>
          <w:color w:val="000000" w:themeColor="text1"/>
          <w:sz w:val="21"/>
          <w:szCs w:val="21"/>
          <w:lang w:val="en-US" w:eastAsia="zh-CN"/>
          <w14:textFill>
            <w14:solidFill>
              <w14:schemeClr w14:val="tx1"/>
            </w14:solidFill>
          </w14:textFill>
        </w:rPr>
        <w:t>m³</w:t>
      </w:r>
      <w:r>
        <w:rPr>
          <w:rFonts w:hint="eastAsia" w:ascii="宋体" w:hAnsi="宋体" w:eastAsia="宋体" w:cs="宋体"/>
          <w:color w:val="000000" w:themeColor="text1"/>
          <w:sz w:val="21"/>
          <w:szCs w:val="21"/>
          <w:lang w:val="en-US" w:eastAsia="zh-CN"/>
          <w14:textFill>
            <w14:solidFill>
              <w14:schemeClr w14:val="tx1"/>
            </w14:solidFill>
          </w14:textFill>
        </w:rPr>
        <w:t>供应</w:t>
      </w:r>
      <w:r>
        <w:rPr>
          <w:rFonts w:hint="eastAsia" w:ascii="宋体" w:hAnsi="宋体" w:cs="宋体"/>
          <w:color w:val="000000" w:themeColor="text1"/>
          <w:sz w:val="21"/>
          <w:szCs w:val="21"/>
          <w:lang w:val="en-US" w:eastAsia="zh-CN"/>
          <w14:textFill>
            <w14:solidFill>
              <w14:schemeClr w14:val="tx1"/>
            </w14:solidFill>
          </w14:textFill>
        </w:rPr>
        <w:t>（详见混凝土工程量清单）</w:t>
      </w:r>
      <w:r>
        <w:rPr>
          <w:rFonts w:hint="eastAsia" w:ascii="宋体" w:hAnsi="宋体" w:eastAsia="宋体" w:cs="宋体"/>
          <w:b w:val="0"/>
          <w:color w:val="000000" w:themeColor="text1"/>
          <w:sz w:val="21"/>
          <w:szCs w:val="21"/>
          <w:highlight w:val="none"/>
          <w14:textFill>
            <w14:solidFill>
              <w14:schemeClr w14:val="tx1"/>
            </w14:solidFill>
          </w14:textFill>
        </w:rPr>
        <w:t>。</w:t>
      </w:r>
    </w:p>
    <w:p w14:paraId="48D5A8F5">
      <w:pPr>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w:t>
      </w:r>
      <w:r>
        <w:rPr>
          <w:rFonts w:hint="eastAsia" w:ascii="宋体" w:hAnsi="宋体" w:eastAsia="宋体" w:cs="宋体"/>
          <w:color w:val="000000" w:themeColor="text1"/>
          <w:sz w:val="21"/>
          <w:szCs w:val="21"/>
          <w:highlight w:val="none"/>
          <w:lang w:val="en-US" w:eastAsia="zh-CN"/>
          <w14:textFill>
            <w14:solidFill>
              <w14:schemeClr w14:val="tx1"/>
            </w14:solidFill>
          </w14:textFill>
        </w:rPr>
        <w:t>供货及安装</w:t>
      </w:r>
      <w:r>
        <w:rPr>
          <w:rFonts w:hint="eastAsia" w:ascii="宋体" w:hAnsi="宋体"/>
          <w:color w:val="000000" w:themeColor="text1"/>
          <w:sz w:val="21"/>
          <w:szCs w:val="21"/>
          <w:highlight w:val="none"/>
          <w14:textFill>
            <w14:solidFill>
              <w14:schemeClr w14:val="tx1"/>
            </w14:solidFill>
          </w14:textFill>
        </w:rPr>
        <w:t>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计划施工总工期720日历天，</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14:paraId="33A19D7E">
      <w:pPr>
        <w:spacing w:line="360" w:lineRule="auto"/>
        <w:ind w:firstLine="420" w:firstLineChars="20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 质量要求：</w:t>
      </w:r>
      <w:r>
        <w:rPr>
          <w:rFonts w:hint="eastAsia" w:ascii="宋体" w:hAnsi="宋体" w:cs="宋体"/>
          <w:color w:val="000000" w:themeColor="text1"/>
          <w:szCs w:val="21"/>
          <w14:textFill>
            <w14:solidFill>
              <w14:schemeClr w14:val="tx1"/>
            </w14:solidFill>
          </w14:textFill>
        </w:rPr>
        <w:t>合格</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（具体见合同条款第二条、质量标准和技术要求）</w:t>
      </w:r>
    </w:p>
    <w:p w14:paraId="780EA937">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3. 投标人资格要求</w:t>
      </w:r>
    </w:p>
    <w:p w14:paraId="63B9BEBB">
      <w:pPr>
        <w:spacing w:line="360" w:lineRule="auto"/>
        <w:ind w:firstLine="420" w:firstLineChars="200"/>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（1）投标人具有良好业绩及履约能力</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注册资金不少于500万</w:t>
      </w:r>
      <w:r>
        <w:rPr>
          <w:rFonts w:hint="eastAsia" w:ascii="宋体" w:hAnsi="宋体" w:eastAsia="宋体" w:cs="宋体"/>
          <w:i w:val="0"/>
          <w:iCs w:val="0"/>
          <w:caps w:val="0"/>
          <w:color w:val="000000" w:themeColor="text1"/>
          <w:spacing w:val="0"/>
          <w:sz w:val="21"/>
          <w:szCs w:val="21"/>
          <w14:textFill>
            <w14:solidFill>
              <w14:schemeClr w14:val="tx1"/>
            </w14:solidFill>
          </w14:textFill>
        </w:rPr>
        <w:t>；</w:t>
      </w:r>
    </w:p>
    <w:p w14:paraId="6B180673">
      <w:pPr>
        <w:spacing w:line="360" w:lineRule="auto"/>
        <w:ind w:firstLine="420" w:firstLineChars="200"/>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（2）投标人信用良好，无不良记录；</w:t>
      </w:r>
    </w:p>
    <w:p w14:paraId="1B373E48">
      <w:pPr>
        <w:spacing w:line="360" w:lineRule="auto"/>
        <w:ind w:firstLine="420" w:firstLineChars="200"/>
        <w:rPr>
          <w:rFonts w:hint="eastAsia" w:ascii="宋体" w:hAnsi="宋体" w:cs="宋体"/>
          <w:i w:val="0"/>
          <w:iCs w:val="0"/>
          <w:caps w:val="0"/>
          <w:color w:val="000000" w:themeColor="text1"/>
          <w:spacing w:val="0"/>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（3）投标人已入温州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材料供应商库</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p>
    <w:p w14:paraId="0C175D66">
      <w:pPr>
        <w:pStyle w:val="17"/>
        <w:ind w:firstLine="420" w:firstLineChars="200"/>
        <w:rPr>
          <w:rFonts w:hint="default"/>
          <w:color w:val="000000" w:themeColor="text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4</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投标人自有的商品混凝土砼搅拌站距离本项目施工地点25公里以内。</w:t>
      </w:r>
    </w:p>
    <w:p w14:paraId="52EC54A9">
      <w:pPr>
        <w:spacing w:line="360" w:lineRule="auto"/>
        <w:ind w:firstLine="422" w:firstLineChars="200"/>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4. 招标文件的获取</w:t>
      </w:r>
    </w:p>
    <w:p w14:paraId="3BC0CBCF">
      <w:pPr>
        <w:spacing w:line="360" w:lineRule="auto"/>
        <w:ind w:firstLine="422" w:firstLineChars="200"/>
        <w:rPr>
          <w:rFonts w:hint="default" w:ascii="宋体" w:hAnsi="宋体" w:eastAsia="宋体"/>
          <w:b/>
          <w:bCs/>
          <w:color w:val="FF0000"/>
          <w:sz w:val="21"/>
          <w:szCs w:val="21"/>
          <w:lang w:val="en-US" w:eastAsia="zh-CN"/>
        </w:rPr>
      </w:pPr>
      <w:r>
        <w:rPr>
          <w:rFonts w:hint="eastAsia" w:ascii="宋体" w:hAnsi="宋体" w:cs="宋体"/>
          <w:b/>
          <w:bCs/>
          <w:color w:val="FF0000"/>
          <w:sz w:val="21"/>
          <w:szCs w:val="21"/>
        </w:rPr>
        <w:t>4.1</w:t>
      </w:r>
      <w:r>
        <w:rPr>
          <w:rFonts w:hint="eastAsia" w:ascii="宋体" w:hAnsi="宋体"/>
          <w:b/>
          <w:bCs/>
          <w:color w:val="FF0000"/>
          <w:sz w:val="21"/>
          <w:szCs w:val="21"/>
        </w:rPr>
        <w:t>凡有意参加投标者，请</w:t>
      </w:r>
      <w:r>
        <w:rPr>
          <w:rFonts w:hint="eastAsia" w:ascii="宋体" w:hAnsi="宋体"/>
          <w:b/>
          <w:bCs/>
          <w:color w:val="FF0000"/>
          <w:sz w:val="21"/>
          <w:szCs w:val="21"/>
          <w:lang w:val="en-US" w:eastAsia="zh-CN"/>
        </w:rPr>
        <w:t>在</w:t>
      </w:r>
      <w:r>
        <w:rPr>
          <w:rFonts w:hint="eastAsia" w:ascii="宋体" w:hAnsi="宋体"/>
          <w:b/>
          <w:bCs/>
          <w:color w:val="FF0000"/>
          <w:sz w:val="21"/>
          <w:szCs w:val="21"/>
        </w:rPr>
        <w:t>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7</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2 </w:t>
      </w:r>
      <w:r>
        <w:rPr>
          <w:rFonts w:hint="eastAsia" w:ascii="宋体" w:hAnsi="宋体"/>
          <w:b/>
          <w:bCs/>
          <w:color w:val="FF0000"/>
          <w:sz w:val="21"/>
          <w:szCs w:val="21"/>
        </w:rPr>
        <w:t>日至202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7</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9 </w:t>
      </w:r>
      <w:r>
        <w:rPr>
          <w:rFonts w:hint="eastAsia" w:ascii="宋体" w:hAnsi="宋体"/>
          <w:b/>
          <w:bCs/>
          <w:color w:val="FF0000"/>
          <w:sz w:val="21"/>
          <w:szCs w:val="21"/>
        </w:rPr>
        <w:t>日；上午08：30 时至</w:t>
      </w:r>
      <w:r>
        <w:rPr>
          <w:rFonts w:ascii="宋体" w:hAnsi="宋体"/>
          <w:b/>
          <w:bCs/>
          <w:color w:val="FF0000"/>
          <w:sz w:val="21"/>
          <w:szCs w:val="21"/>
        </w:rPr>
        <w:t xml:space="preserve"> </w:t>
      </w:r>
      <w:r>
        <w:rPr>
          <w:rFonts w:hint="eastAsia" w:ascii="宋体" w:hAnsi="宋体"/>
          <w:b/>
          <w:bCs/>
          <w:color w:val="FF0000"/>
          <w:sz w:val="21"/>
          <w:szCs w:val="21"/>
        </w:rPr>
        <w:t>11：30</w:t>
      </w:r>
      <w:r>
        <w:rPr>
          <w:rFonts w:ascii="宋体" w:hAnsi="宋体"/>
          <w:b/>
          <w:bCs/>
          <w:color w:val="FF0000"/>
          <w:sz w:val="21"/>
          <w:szCs w:val="21"/>
        </w:rPr>
        <w:t xml:space="preserve"> </w:t>
      </w:r>
      <w:r>
        <w:rPr>
          <w:rFonts w:hint="eastAsia" w:ascii="宋体" w:hAnsi="宋体"/>
          <w:b/>
          <w:bCs/>
          <w:color w:val="FF0000"/>
          <w:sz w:val="21"/>
          <w:szCs w:val="21"/>
        </w:rPr>
        <w:t>时，下午14：</w:t>
      </w:r>
      <w:r>
        <w:rPr>
          <w:rFonts w:hint="eastAsia" w:ascii="宋体" w:hAnsi="宋体"/>
          <w:b/>
          <w:bCs/>
          <w:color w:val="FF0000"/>
          <w:sz w:val="21"/>
          <w:szCs w:val="21"/>
          <w:lang w:val="en-US" w:eastAsia="zh-CN"/>
        </w:rPr>
        <w:t>3</w:t>
      </w:r>
      <w:r>
        <w:rPr>
          <w:rFonts w:hint="eastAsia" w:ascii="宋体" w:hAnsi="宋体"/>
          <w:b/>
          <w:bCs/>
          <w:color w:val="FF0000"/>
          <w:sz w:val="21"/>
          <w:szCs w:val="21"/>
        </w:rPr>
        <w:t>0时至1</w:t>
      </w:r>
      <w:r>
        <w:rPr>
          <w:rFonts w:hint="eastAsia" w:ascii="宋体" w:hAnsi="宋体"/>
          <w:b/>
          <w:bCs/>
          <w:color w:val="FF0000"/>
          <w:sz w:val="21"/>
          <w:szCs w:val="21"/>
          <w:lang w:val="en-US" w:eastAsia="zh-CN"/>
        </w:rPr>
        <w:t>8</w:t>
      </w:r>
      <w:r>
        <w:rPr>
          <w:rFonts w:hint="eastAsia" w:ascii="宋体" w:hAnsi="宋体"/>
          <w:b/>
          <w:bCs/>
          <w:color w:val="FF0000"/>
          <w:sz w:val="21"/>
          <w:szCs w:val="21"/>
        </w:rPr>
        <w:t>：</w:t>
      </w:r>
      <w:r>
        <w:rPr>
          <w:rFonts w:hint="eastAsia" w:ascii="宋体" w:hAnsi="宋体"/>
          <w:b/>
          <w:bCs/>
          <w:color w:val="FF0000"/>
          <w:sz w:val="21"/>
          <w:szCs w:val="21"/>
          <w:lang w:val="en-US" w:eastAsia="zh-CN"/>
        </w:rPr>
        <w:t>0</w:t>
      </w:r>
      <w:r>
        <w:rPr>
          <w:rFonts w:hint="eastAsia" w:ascii="宋体" w:hAnsi="宋体"/>
          <w:b/>
          <w:bCs/>
          <w:color w:val="FF0000"/>
          <w:sz w:val="21"/>
          <w:szCs w:val="21"/>
        </w:rPr>
        <w:t>0</w:t>
      </w:r>
      <w:r>
        <w:rPr>
          <w:rFonts w:ascii="宋体" w:hAnsi="宋体"/>
          <w:b/>
          <w:bCs/>
          <w:color w:val="FF0000"/>
          <w:sz w:val="21"/>
          <w:szCs w:val="21"/>
        </w:rPr>
        <w:t xml:space="preserve"> </w:t>
      </w:r>
      <w:r>
        <w:rPr>
          <w:rFonts w:hint="eastAsia" w:ascii="宋体" w:hAnsi="宋体"/>
          <w:b/>
          <w:bCs/>
          <w:color w:val="FF0000"/>
          <w:sz w:val="21"/>
          <w:szCs w:val="21"/>
        </w:rPr>
        <w:t>时</w:t>
      </w:r>
      <w:r>
        <w:rPr>
          <w:rFonts w:hint="eastAsia" w:ascii="宋体" w:hAnsi="宋体"/>
          <w:b/>
          <w:bCs/>
          <w:color w:val="FF0000"/>
          <w:sz w:val="21"/>
          <w:szCs w:val="21"/>
          <w:lang w:val="en-US" w:eastAsia="zh-CN"/>
        </w:rPr>
        <w:t>前往</w:t>
      </w:r>
      <w:r>
        <w:rPr>
          <w:rFonts w:hint="eastAsia" w:ascii="宋体" w:hAnsi="宋体"/>
          <w:b/>
          <w:bCs/>
          <w:color w:val="FF0000"/>
          <w:sz w:val="21"/>
          <w:szCs w:val="21"/>
          <w:lang w:eastAsia="zh-CN"/>
        </w:rPr>
        <w:t>温州市市政工程建设开发有限公司</w:t>
      </w:r>
      <w:r>
        <w:rPr>
          <w:rFonts w:ascii="宋体" w:hAnsi="宋体"/>
          <w:b/>
          <w:bCs/>
          <w:color w:val="FF0000"/>
          <w:sz w:val="21"/>
          <w:szCs w:val="21"/>
        </w:rPr>
        <w:t>会议室（</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w:t>
      </w:r>
      <w:r>
        <w:rPr>
          <w:rFonts w:hint="eastAsia" w:ascii="宋体" w:hAnsi="宋体" w:eastAsia="宋体" w:cs="Times New Roman"/>
          <w:b/>
          <w:bCs/>
          <w:color w:val="FF0000"/>
          <w:sz w:val="21"/>
          <w:szCs w:val="21"/>
          <w:lang w:val="en-US" w:eastAsia="zh-CN"/>
        </w:rPr>
        <w:t xml:space="preserve"> </w:t>
      </w:r>
      <w:r>
        <w:rPr>
          <w:rFonts w:ascii="宋体" w:hAnsi="宋体"/>
          <w:b/>
          <w:bCs/>
          <w:color w:val="FF0000"/>
          <w:sz w:val="21"/>
          <w:szCs w:val="21"/>
        </w:rPr>
        <w:t>)</w:t>
      </w:r>
      <w:r>
        <w:rPr>
          <w:rFonts w:hint="eastAsia"/>
          <w:b/>
          <w:bCs/>
          <w:color w:val="FF0000"/>
          <w:sz w:val="21"/>
          <w:szCs w:val="21"/>
          <w:highlight w:val="none"/>
          <w:lang w:val="en-US" w:eastAsia="zh-CN"/>
        </w:rPr>
        <w:t>报名，未报名单位谢绝投标，投标单位可在公告下方直接下载招标文件</w:t>
      </w:r>
      <w:r>
        <w:rPr>
          <w:b/>
          <w:bCs/>
          <w:color w:val="FF0000"/>
          <w:sz w:val="21"/>
          <w:szCs w:val="21"/>
          <w:highlight w:val="none"/>
        </w:rPr>
        <w:t>。</w:t>
      </w:r>
      <w:r>
        <w:rPr>
          <w:rFonts w:hint="eastAsia"/>
          <w:b/>
          <w:bCs/>
          <w:color w:val="FF0000"/>
          <w:sz w:val="21"/>
          <w:szCs w:val="21"/>
          <w:highlight w:val="none"/>
          <w:lang w:val="en-US" w:eastAsia="zh-CN"/>
        </w:rPr>
        <w:t>报名时提交：1、企业营业执照2、企业介绍信</w:t>
      </w:r>
      <w:r>
        <w:rPr>
          <w:rFonts w:hint="eastAsia" w:ascii="宋体" w:hAnsi="宋体" w:cs="宋体"/>
          <w:b/>
          <w:bCs/>
          <w:i w:val="0"/>
          <w:iCs w:val="0"/>
          <w:caps w:val="0"/>
          <w:color w:val="FF0000"/>
          <w:spacing w:val="0"/>
          <w:sz w:val="21"/>
          <w:szCs w:val="21"/>
          <w:lang w:val="en-US" w:eastAsia="zh-CN"/>
        </w:rPr>
        <w:t>。</w:t>
      </w:r>
    </w:p>
    <w:p w14:paraId="237E75EA">
      <w:pPr>
        <w:spacing w:line="360" w:lineRule="auto"/>
        <w:ind w:firstLine="422" w:firstLineChars="200"/>
        <w:rPr>
          <w:rFonts w:ascii="宋体" w:hAnsi="宋体"/>
          <w:b/>
          <w:bCs/>
          <w:color w:val="FF0000"/>
          <w:sz w:val="21"/>
          <w:szCs w:val="21"/>
        </w:rPr>
      </w:pPr>
      <w:r>
        <w:rPr>
          <w:rFonts w:ascii="宋体" w:hAnsi="宋体"/>
          <w:b/>
          <w:bCs/>
          <w:color w:val="FF0000"/>
          <w:sz w:val="21"/>
          <w:szCs w:val="21"/>
        </w:rPr>
        <w:t>5. 投标文件的递交</w:t>
      </w:r>
    </w:p>
    <w:p w14:paraId="2B99DB6E">
      <w:pPr>
        <w:spacing w:line="360" w:lineRule="auto"/>
        <w:ind w:firstLine="422" w:firstLineChars="200"/>
        <w:rPr>
          <w:rFonts w:ascii="宋体" w:hAnsi="宋体"/>
          <w:b/>
          <w:bCs/>
          <w:color w:val="FF0000"/>
          <w:sz w:val="21"/>
          <w:szCs w:val="21"/>
        </w:rPr>
      </w:pPr>
      <w:r>
        <w:rPr>
          <w:rFonts w:ascii="宋体" w:hAnsi="宋体"/>
          <w:b/>
          <w:bCs/>
          <w:color w:val="FF0000"/>
          <w:sz w:val="21"/>
          <w:szCs w:val="21"/>
        </w:rPr>
        <w:t>5.1 投标文件递交的截止时间</w:t>
      </w:r>
      <w:r>
        <w:rPr>
          <w:rFonts w:hint="eastAsia" w:ascii="宋体" w:hAnsi="宋体"/>
          <w:b/>
          <w:bCs/>
          <w:color w:val="FF0000"/>
          <w:sz w:val="21"/>
          <w:szCs w:val="21"/>
        </w:rPr>
        <w:t>202</w:t>
      </w:r>
      <w:r>
        <w:rPr>
          <w:rFonts w:hint="eastAsia" w:ascii="宋体" w:hAnsi="宋体"/>
          <w:b/>
          <w:bCs/>
          <w:color w:val="FF0000"/>
          <w:sz w:val="21"/>
          <w:szCs w:val="21"/>
          <w:lang w:val="en-US" w:eastAsia="zh-CN"/>
        </w:rPr>
        <w:t>5</w:t>
      </w:r>
      <w:r>
        <w:rPr>
          <w:rFonts w:hint="eastAsia" w:ascii="宋体" w:hAnsi="宋体"/>
          <w:b/>
          <w:bCs/>
          <w:color w:val="FF0000"/>
          <w:sz w:val="21"/>
          <w:szCs w:val="21"/>
        </w:rPr>
        <w:t>年</w:t>
      </w:r>
      <w:r>
        <w:rPr>
          <w:rFonts w:hint="eastAsia" w:ascii="宋体" w:hAnsi="宋体"/>
          <w:b/>
          <w:bCs/>
          <w:color w:val="FF0000"/>
          <w:sz w:val="21"/>
          <w:szCs w:val="21"/>
          <w:lang w:val="en-US" w:eastAsia="zh-CN"/>
        </w:rPr>
        <w:t xml:space="preserve">7 </w:t>
      </w:r>
      <w:r>
        <w:rPr>
          <w:rFonts w:hint="eastAsia" w:ascii="宋体" w:hAnsi="宋体"/>
          <w:b/>
          <w:bCs/>
          <w:color w:val="FF0000"/>
          <w:sz w:val="21"/>
          <w:szCs w:val="21"/>
        </w:rPr>
        <w:t>月</w:t>
      </w:r>
      <w:r>
        <w:rPr>
          <w:rFonts w:hint="eastAsia" w:ascii="宋体" w:hAnsi="宋体"/>
          <w:b/>
          <w:bCs/>
          <w:color w:val="FF0000"/>
          <w:sz w:val="21"/>
          <w:szCs w:val="21"/>
          <w:lang w:val="en-US" w:eastAsia="zh-CN"/>
        </w:rPr>
        <w:t xml:space="preserve"> 9 </w:t>
      </w:r>
      <w:r>
        <w:rPr>
          <w:rFonts w:ascii="宋体" w:hAnsi="宋体"/>
          <w:b/>
          <w:bCs/>
          <w:color w:val="FF0000"/>
          <w:sz w:val="21"/>
          <w:szCs w:val="21"/>
        </w:rPr>
        <w:t>日</w:t>
      </w:r>
      <w:r>
        <w:rPr>
          <w:rFonts w:hint="eastAsia" w:ascii="宋体" w:hAnsi="宋体"/>
          <w:b/>
          <w:bCs/>
          <w:color w:val="FF0000"/>
          <w:sz w:val="21"/>
          <w:szCs w:val="21"/>
        </w:rPr>
        <w:t>下</w:t>
      </w:r>
      <w:r>
        <w:rPr>
          <w:rFonts w:ascii="宋体" w:hAnsi="宋体"/>
          <w:b/>
          <w:bCs/>
          <w:color w:val="FF0000"/>
          <w:sz w:val="21"/>
          <w:szCs w:val="21"/>
        </w:rPr>
        <w:t>午</w:t>
      </w:r>
      <w:r>
        <w:rPr>
          <w:rFonts w:hint="eastAsia" w:ascii="宋体" w:hAnsi="宋体"/>
          <w:b/>
          <w:bCs/>
          <w:color w:val="FF0000"/>
          <w:sz w:val="21"/>
          <w:szCs w:val="21"/>
          <w:lang w:val="en-US" w:eastAsia="zh-CN"/>
        </w:rPr>
        <w:t>15：0</w:t>
      </w:r>
      <w:r>
        <w:rPr>
          <w:rFonts w:hint="eastAsia" w:ascii="宋体" w:hAnsi="宋体"/>
          <w:b/>
          <w:bCs/>
          <w:color w:val="FF0000"/>
          <w:sz w:val="21"/>
          <w:szCs w:val="21"/>
        </w:rPr>
        <w:t>0分</w:t>
      </w:r>
      <w:r>
        <w:rPr>
          <w:rFonts w:ascii="宋体" w:hAnsi="宋体"/>
          <w:b/>
          <w:bCs/>
          <w:color w:val="FF0000"/>
          <w:sz w:val="21"/>
          <w:szCs w:val="21"/>
        </w:rPr>
        <w:t>整，投标文件递交地点：</w:t>
      </w:r>
      <w:r>
        <w:rPr>
          <w:rFonts w:hint="eastAsia" w:ascii="宋体" w:hAnsi="宋体"/>
          <w:b/>
          <w:bCs/>
          <w:color w:val="FF0000"/>
          <w:sz w:val="21"/>
          <w:szCs w:val="21"/>
          <w:lang w:eastAsia="zh-CN"/>
        </w:rPr>
        <w:t>温州市市政工程建设开发有限公司</w:t>
      </w:r>
      <w:r>
        <w:rPr>
          <w:rFonts w:ascii="宋体" w:hAnsi="宋体"/>
          <w:b/>
          <w:bCs/>
          <w:color w:val="FF0000"/>
          <w:sz w:val="21"/>
          <w:szCs w:val="21"/>
        </w:rPr>
        <w:t>会议室（</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w:t>
      </w:r>
      <w:r>
        <w:rPr>
          <w:rFonts w:hint="eastAsia" w:ascii="宋体" w:hAnsi="宋体" w:eastAsia="宋体" w:cs="Times New Roman"/>
          <w:b/>
          <w:bCs/>
          <w:color w:val="FF0000"/>
          <w:sz w:val="21"/>
          <w:szCs w:val="21"/>
          <w:lang w:val="en-US" w:eastAsia="zh-CN"/>
        </w:rPr>
        <w:t xml:space="preserve"> </w:t>
      </w:r>
      <w:r>
        <w:rPr>
          <w:rFonts w:ascii="宋体" w:hAnsi="宋体"/>
          <w:b/>
          <w:bCs/>
          <w:color w:val="FF0000"/>
          <w:sz w:val="21"/>
          <w:szCs w:val="21"/>
        </w:rPr>
        <w:t>)。</w:t>
      </w:r>
    </w:p>
    <w:p w14:paraId="142E4DE0">
      <w:pPr>
        <w:spacing w:line="360" w:lineRule="auto"/>
        <w:ind w:firstLine="422" w:firstLineChars="200"/>
        <w:rPr>
          <w:rFonts w:ascii="宋体" w:hAnsi="宋体"/>
          <w:b/>
          <w:bCs/>
          <w:color w:val="FF0000"/>
          <w:sz w:val="21"/>
          <w:szCs w:val="21"/>
        </w:rPr>
      </w:pPr>
      <w:r>
        <w:rPr>
          <w:rFonts w:ascii="宋体" w:hAnsi="宋体"/>
          <w:b/>
          <w:bCs/>
          <w:color w:val="FF0000"/>
          <w:sz w:val="21"/>
          <w:szCs w:val="21"/>
        </w:rPr>
        <w:t>5.2逾期送达的、未送达指定地点的或者不按照投招标文件要求密封的投标文件，招标人将予以拒收。</w:t>
      </w:r>
    </w:p>
    <w:p w14:paraId="7C0B17DA">
      <w:pPr>
        <w:spacing w:line="360" w:lineRule="auto"/>
        <w:ind w:firstLine="422" w:firstLineChars="200"/>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w:t>
      </w:r>
      <w:r>
        <w:rPr>
          <w:rFonts w:hint="eastAsia" w:hAnsi="宋体" w:cs="宋体"/>
          <w:b/>
          <w:bCs/>
          <w:color w:val="000000" w:themeColor="text1"/>
          <w:sz w:val="21"/>
          <w:szCs w:val="21"/>
          <w14:textFill>
            <w14:solidFill>
              <w14:schemeClr w14:val="tx1"/>
            </w14:solidFill>
          </w14:textFill>
        </w:rPr>
        <w:t>公开</w:t>
      </w:r>
      <w:r>
        <w:rPr>
          <w:rFonts w:hint="eastAsia" w:hAnsi="宋体" w:cs="宋体"/>
          <w:b/>
          <w:bCs/>
          <w:color w:val="000000" w:themeColor="text1"/>
          <w:spacing w:val="15"/>
          <w:sz w:val="21"/>
          <w:szCs w:val="21"/>
          <w:shd w:val="clear" w:color="auto" w:fill="FFFFFF"/>
          <w14:textFill>
            <w14:solidFill>
              <w14:schemeClr w14:val="tx1"/>
            </w14:solidFill>
          </w14:textFill>
        </w:rPr>
        <w:t>发布的媒介</w:t>
      </w:r>
    </w:p>
    <w:p w14:paraId="2B595A07">
      <w:pPr>
        <w:spacing w:line="360" w:lineRule="auto"/>
        <w:ind w:firstLine="420" w:firstLineChars="200"/>
        <w:rPr>
          <w:rFonts w:hint="eastAsia" w:ascii="宋体" w:hAnsi="宋体"/>
          <w:b/>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本次招标公告在</w:t>
      </w:r>
      <w:r>
        <w:rPr>
          <w:rFonts w:hint="eastAsia" w:ascii="宋体" w:hAnsi="宋体"/>
          <w:b w:val="0"/>
          <w:bCs/>
          <w:color w:val="000000" w:themeColor="text1"/>
          <w:sz w:val="21"/>
          <w:szCs w:val="21"/>
          <w:lang w:val="en-US" w:eastAsia="zh-CN"/>
          <w14:textFill>
            <w14:solidFill>
              <w14:schemeClr w14:val="tx1"/>
            </w14:solidFill>
          </w14:textFill>
        </w:rPr>
        <w:t>建设集团</w:t>
      </w:r>
      <w:r>
        <w:rPr>
          <w:rFonts w:hint="eastAsia" w:ascii="宋体" w:hAnsi="宋体"/>
          <w:b w:val="0"/>
          <w:bCs/>
          <w:color w:val="000000" w:themeColor="text1"/>
          <w:sz w:val="21"/>
          <w:szCs w:val="21"/>
          <w14:textFill>
            <w14:solidFill>
              <w14:schemeClr w14:val="tx1"/>
            </w14:solidFill>
          </w14:textFill>
        </w:rPr>
        <w:t>招采平台上发布</w:t>
      </w:r>
      <w:r>
        <w:rPr>
          <w:rFonts w:hint="eastAsia" w:ascii="宋体" w:hAnsi="宋体"/>
          <w:b/>
          <w:color w:val="000000" w:themeColor="text1"/>
          <w:sz w:val="21"/>
          <w:szCs w:val="21"/>
          <w14:textFill>
            <w14:solidFill>
              <w14:schemeClr w14:val="tx1"/>
            </w14:solidFill>
          </w14:textFill>
        </w:rPr>
        <w:t>。</w:t>
      </w:r>
    </w:p>
    <w:p w14:paraId="7C71498C">
      <w:pPr>
        <w:spacing w:line="360" w:lineRule="auto"/>
        <w:ind w:firstLine="422" w:firstLineChars="20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7</w:t>
      </w:r>
      <w:r>
        <w:rPr>
          <w:rFonts w:ascii="宋体" w:hAnsi="宋体"/>
          <w:b/>
          <w:color w:val="000000" w:themeColor="text1"/>
          <w:sz w:val="21"/>
          <w:szCs w:val="21"/>
          <w14:textFill>
            <w14:solidFill>
              <w14:schemeClr w14:val="tx1"/>
            </w14:solidFill>
          </w14:textFill>
        </w:rPr>
        <w:t>. 联系方式</w:t>
      </w:r>
    </w:p>
    <w:p w14:paraId="64F2F8D6">
      <w:pPr>
        <w:spacing w:line="360" w:lineRule="auto"/>
        <w:ind w:firstLine="420" w:firstLineChars="200"/>
        <w:rPr>
          <w:rFonts w:hint="eastAsia" w:ascii="宋体" w:hAnsi="宋体" w:eastAsia="宋体"/>
          <w:color w:val="000000" w:themeColor="text1"/>
          <w:sz w:val="21"/>
          <w:szCs w:val="21"/>
          <w:lang w:eastAsia="zh-CN"/>
          <w14:textFill>
            <w14:solidFill>
              <w14:schemeClr w14:val="tx1"/>
            </w14:solidFill>
          </w14:textFill>
        </w:rPr>
      </w:pPr>
      <w:r>
        <w:rPr>
          <w:rFonts w:ascii="宋体" w:hAnsi="宋体"/>
          <w:color w:val="000000" w:themeColor="text1"/>
          <w:sz w:val="21"/>
          <w:szCs w:val="21"/>
          <w14:textFill>
            <w14:solidFill>
              <w14:schemeClr w14:val="tx1"/>
            </w14:solidFill>
          </w14:textFill>
        </w:rPr>
        <w:t>招标人：</w:t>
      </w:r>
      <w:r>
        <w:rPr>
          <w:rFonts w:hint="eastAsia" w:ascii="宋体" w:hAnsi="宋体"/>
          <w:color w:val="000000" w:themeColor="text1"/>
          <w:sz w:val="21"/>
          <w:szCs w:val="21"/>
          <w:lang w:eastAsia="zh-CN"/>
          <w14:textFill>
            <w14:solidFill>
              <w14:schemeClr w14:val="tx1"/>
            </w14:solidFill>
          </w14:textFill>
        </w:rPr>
        <w:t>温州市市政工程建设开发有限公司</w:t>
      </w:r>
    </w:p>
    <w:p w14:paraId="3B177630">
      <w:pPr>
        <w:spacing w:line="360" w:lineRule="auto"/>
        <w:ind w:firstLine="420" w:firstLineChars="200"/>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地址：温州市</w:t>
      </w:r>
      <w:r>
        <w:rPr>
          <w:rFonts w:hint="eastAsia" w:ascii="宋体" w:hAnsi="宋体"/>
          <w:color w:val="000000" w:themeColor="text1"/>
          <w:sz w:val="21"/>
          <w:szCs w:val="21"/>
          <w:lang w:val="en-US" w:eastAsia="zh-CN"/>
          <w14:textFill>
            <w14:solidFill>
              <w14:schemeClr w14:val="tx1"/>
            </w14:solidFill>
          </w14:textFill>
        </w:rPr>
        <w:t>鹿城区</w:t>
      </w:r>
      <w:r>
        <w:rPr>
          <w:rFonts w:hint="eastAsia" w:ascii="宋体" w:hAnsi="宋体"/>
          <w:color w:val="000000" w:themeColor="text1"/>
          <w:sz w:val="21"/>
          <w:szCs w:val="21"/>
          <w:lang w:eastAsia="zh-CN"/>
          <w14:textFill>
            <w14:solidFill>
              <w14:schemeClr w14:val="tx1"/>
            </w14:solidFill>
          </w14:textFill>
        </w:rPr>
        <w:t>锦绣路19号宏嘉大厦1、2幢</w:t>
      </w:r>
      <w:r>
        <w:rPr>
          <w:rFonts w:hint="eastAsia" w:ascii="宋体" w:hAnsi="宋体"/>
          <w:color w:val="000000" w:themeColor="text1"/>
          <w:sz w:val="21"/>
          <w:szCs w:val="21"/>
          <w:lang w:val="en-US" w:eastAsia="zh-CN"/>
          <w14:textFill>
            <w14:solidFill>
              <w14:schemeClr w14:val="tx1"/>
            </w14:solidFill>
          </w14:textFill>
        </w:rPr>
        <w:t>3楼</w:t>
      </w:r>
    </w:p>
    <w:p w14:paraId="11B801A3">
      <w:pPr>
        <w:spacing w:line="360" w:lineRule="auto"/>
        <w:ind w:firstLine="420" w:firstLineChars="200"/>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报名联系人：赵女士  </w:t>
      </w:r>
      <w:r>
        <w:rPr>
          <w:rFonts w:hint="eastAsia" w:ascii="宋体" w:hAnsi="宋体" w:cs="Times New Roman"/>
          <w:color w:val="000000" w:themeColor="text1"/>
          <w:sz w:val="21"/>
          <w:szCs w:val="21"/>
          <w:lang w:val="en-US" w:eastAsia="zh-CN"/>
          <w14:textFill>
            <w14:solidFill>
              <w14:schemeClr w14:val="tx1"/>
            </w14:solidFill>
          </w14:textFill>
        </w:rPr>
        <w:t>0577-88335275</w:t>
      </w:r>
    </w:p>
    <w:p w14:paraId="7786E196">
      <w:pPr>
        <w:spacing w:line="360" w:lineRule="auto"/>
        <w:ind w:firstLine="420" w:firstLineChars="200"/>
        <w:rPr>
          <w:rFonts w:hint="eastAsia" w:ascii="宋体" w:hAnsi="宋体" w:eastAsia="宋体" w:cs="Times New Roman"/>
          <w:color w:val="0000FF"/>
          <w:sz w:val="21"/>
          <w:szCs w:val="21"/>
          <w:lang w:val="en-US" w:eastAsia="zh-CN"/>
        </w:rPr>
      </w:pPr>
      <w:r>
        <w:rPr>
          <w:rFonts w:hint="eastAsia" w:ascii="宋体" w:hAnsi="宋体" w:eastAsia="宋体" w:cs="Times New Roman"/>
          <w:color w:val="0000FF"/>
          <w:sz w:val="21"/>
          <w:szCs w:val="21"/>
          <w:lang w:val="en-US" w:eastAsia="zh-CN"/>
        </w:rPr>
        <w:t>项目</w:t>
      </w:r>
      <w:r>
        <w:rPr>
          <w:rFonts w:hint="eastAsia" w:ascii="宋体" w:hAnsi="宋体" w:cs="Times New Roman"/>
          <w:color w:val="0000FF"/>
          <w:sz w:val="21"/>
          <w:szCs w:val="21"/>
          <w:lang w:val="en-US" w:eastAsia="zh-CN"/>
        </w:rPr>
        <w:t>经理</w:t>
      </w:r>
      <w:r>
        <w:rPr>
          <w:rFonts w:hint="eastAsia" w:ascii="宋体" w:hAnsi="宋体" w:eastAsia="宋体" w:cs="Times New Roman"/>
          <w:color w:val="0000FF"/>
          <w:sz w:val="21"/>
          <w:szCs w:val="21"/>
          <w:lang w:val="en-US" w:eastAsia="zh-CN"/>
        </w:rPr>
        <w:t>：李</w:t>
      </w:r>
      <w:r>
        <w:rPr>
          <w:rFonts w:hint="eastAsia" w:ascii="宋体" w:hAnsi="宋体" w:cs="Times New Roman"/>
          <w:color w:val="0000FF"/>
          <w:sz w:val="21"/>
          <w:szCs w:val="21"/>
          <w:lang w:val="en-US" w:eastAsia="zh-CN"/>
        </w:rPr>
        <w:t>先生</w:t>
      </w:r>
      <w:r>
        <w:rPr>
          <w:rFonts w:hint="eastAsia" w:ascii="宋体" w:hAnsi="宋体" w:eastAsia="宋体" w:cs="Times New Roman"/>
          <w:color w:val="0000FF"/>
          <w:sz w:val="21"/>
          <w:szCs w:val="21"/>
          <w:lang w:val="en-US" w:eastAsia="zh-CN"/>
        </w:rPr>
        <w:t>13587880321</w:t>
      </w:r>
    </w:p>
    <w:p w14:paraId="755DF41B">
      <w:pPr>
        <w:spacing w:line="360" w:lineRule="auto"/>
        <w:ind w:firstLine="420" w:firstLineChars="200"/>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公司监察联系人：叶先生 13388582195</w:t>
      </w:r>
    </w:p>
    <w:p w14:paraId="5839CF80">
      <w:pPr>
        <w:spacing w:line="360" w:lineRule="auto"/>
        <w:ind w:firstLine="420" w:firstLineChars="200"/>
        <w:rPr>
          <w:rFonts w:hint="default" w:ascii="宋体" w:hAnsi="宋体"/>
          <w:color w:val="000000" w:themeColor="text1"/>
          <w:sz w:val="21"/>
          <w:szCs w:val="21"/>
          <w:lang w:val="en-US" w:eastAsia="zh-CN"/>
          <w14:textFill>
            <w14:solidFill>
              <w14:schemeClr w14:val="tx1"/>
            </w14:solidFill>
          </w14:textFill>
        </w:rPr>
      </w:pPr>
    </w:p>
    <w:p w14:paraId="487D727F">
      <w:pPr>
        <w:spacing w:line="360" w:lineRule="auto"/>
        <w:jc w:val="right"/>
        <w:rPr>
          <w:rFonts w:ascii="宋体" w:hAnsi="宋体"/>
          <w:color w:val="000000" w:themeColor="text1"/>
          <w:sz w:val="21"/>
          <w:szCs w:val="21"/>
          <w14:textFill>
            <w14:solidFill>
              <w14:schemeClr w14:val="tx1"/>
            </w14:solidFill>
          </w14:textFill>
        </w:rPr>
      </w:pPr>
    </w:p>
    <w:p w14:paraId="2B1DF4B1">
      <w:pPr>
        <w:spacing w:line="360" w:lineRule="auto"/>
        <w:jc w:val="right"/>
        <w:rPr>
          <w:rFonts w:ascii="宋体" w:hAnsi="宋体"/>
          <w:color w:val="000000" w:themeColor="text1"/>
          <w:sz w:val="21"/>
          <w:szCs w:val="21"/>
          <w14:textFill>
            <w14:solidFill>
              <w14:schemeClr w14:val="tx1"/>
            </w14:solidFill>
          </w14:textFill>
        </w:rPr>
      </w:pPr>
    </w:p>
    <w:p w14:paraId="376A1A44">
      <w:pPr>
        <w:spacing w:line="360" w:lineRule="auto"/>
        <w:jc w:val="right"/>
        <w:rPr>
          <w:rFonts w:ascii="宋体" w:hAnsi="宋体"/>
          <w:color w:val="000000" w:themeColor="text1"/>
          <w:sz w:val="21"/>
          <w:szCs w:val="21"/>
          <w14:textFill>
            <w14:solidFill>
              <w14:schemeClr w14:val="tx1"/>
            </w14:solidFill>
          </w14:textFill>
        </w:rPr>
      </w:pPr>
    </w:p>
    <w:p w14:paraId="49B660C3">
      <w:pPr>
        <w:spacing w:line="360" w:lineRule="auto"/>
        <w:jc w:val="right"/>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温州市市政工程建设开发有限公司</w:t>
      </w:r>
    </w:p>
    <w:p w14:paraId="4C8F0D3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202</w:t>
      </w:r>
      <w:r>
        <w:rPr>
          <w:rFonts w:hint="eastAsia" w:ascii="宋体" w:hAnsi="宋体"/>
          <w:color w:val="000000" w:themeColor="text1"/>
          <w:sz w:val="21"/>
          <w:szCs w:val="21"/>
          <w:lang w:val="en-US" w:eastAsia="zh-CN"/>
          <w14:textFill>
            <w14:solidFill>
              <w14:schemeClr w14:val="tx1"/>
            </w14:solidFill>
          </w14:textFill>
        </w:rPr>
        <w:t>5年</w:t>
      </w:r>
      <w:bookmarkStart w:id="704" w:name="_GoBack"/>
      <w:bookmarkEnd w:id="704"/>
      <w:r>
        <w:rPr>
          <w:rFonts w:hint="eastAsia" w:ascii="宋体" w:hAnsi="宋体"/>
          <w:color w:val="000000" w:themeColor="text1"/>
          <w:sz w:val="21"/>
          <w:szCs w:val="21"/>
          <w:lang w:val="en-US" w:eastAsia="zh-CN"/>
          <w14:textFill>
            <w14:solidFill>
              <w14:schemeClr w14:val="tx1"/>
            </w14:solidFill>
          </w14:textFill>
        </w:rPr>
        <w:t xml:space="preserve"> 7</w:t>
      </w:r>
      <w:r>
        <w:rPr>
          <w:rFonts w:ascii="宋体" w:hAnsi="宋体"/>
          <w:color w:val="000000" w:themeColor="text1"/>
          <w:sz w:val="21"/>
          <w:szCs w:val="21"/>
          <w14:textFill>
            <w14:solidFill>
              <w14:schemeClr w14:val="tx1"/>
            </w14:solidFill>
          </w14:textFill>
        </w:rPr>
        <w:t>月</w:t>
      </w:r>
      <w:r>
        <w:rPr>
          <w:rFonts w:hint="eastAsia" w:ascii="宋体" w:hAnsi="宋体"/>
          <w:color w:val="000000" w:themeColor="text1"/>
          <w:sz w:val="21"/>
          <w:szCs w:val="21"/>
          <w:lang w:val="en-US" w:eastAsia="zh-CN"/>
          <w14:textFill>
            <w14:solidFill>
              <w14:schemeClr w14:val="tx1"/>
            </w14:solidFill>
          </w14:textFill>
        </w:rPr>
        <w:t xml:space="preserve">2 </w:t>
      </w:r>
      <w:r>
        <w:rPr>
          <w:color w:val="000000" w:themeColor="text1"/>
          <w:sz w:val="21"/>
          <w:szCs w:val="21"/>
          <w14:textFill>
            <w14:solidFill>
              <w14:schemeClr w14:val="tx1"/>
            </w14:solidFill>
          </w14:textFill>
        </w:rPr>
        <w:t>日</w:t>
      </w:r>
      <w:bookmarkEnd w:id="2"/>
      <w:bookmarkEnd w:id="3"/>
      <w:bookmarkEnd w:id="4"/>
      <w:bookmarkEnd w:id="12"/>
      <w:bookmarkEnd w:id="18"/>
      <w:bookmarkEnd w:id="19"/>
      <w:bookmarkEnd w:id="20"/>
      <w:bookmarkEnd w:id="21"/>
      <w:bookmarkEnd w:id="22"/>
      <w:bookmarkEnd w:id="23"/>
      <w:bookmarkEnd w:id="24"/>
      <w:bookmarkEnd w:id="25"/>
      <w:bookmarkEnd w:id="26"/>
      <w:bookmarkEnd w:id="27"/>
      <w:r>
        <w:rPr>
          <w:rFonts w:ascii="宋体" w:hAnsi="宋体"/>
          <w:color w:val="000000" w:themeColor="text1"/>
          <w:sz w:val="2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76EDC6E3">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28" w:name="_Toc34814174"/>
      <w:bookmarkStart w:id="29" w:name="_Toc152042303"/>
      <w:bookmarkStart w:id="30" w:name="_Toc27986207"/>
      <w:bookmarkStart w:id="31" w:name="_Toc152045527"/>
      <w:bookmarkStart w:id="32" w:name="_Toc144974495"/>
      <w:r>
        <w:rPr>
          <w:rFonts w:ascii="宋体" w:hAnsi="宋体"/>
          <w:b w:val="0"/>
          <w:bCs w:val="0"/>
          <w:color w:val="000000" w:themeColor="text1"/>
          <w:sz w:val="32"/>
          <w14:textFill>
            <w14:solidFill>
              <w14:schemeClr w14:val="tx1"/>
            </w14:solidFill>
          </w14:textFill>
        </w:rPr>
        <w:br w:type="page"/>
      </w:r>
      <w:bookmarkStart w:id="33" w:name="_Toc3552"/>
      <w:bookmarkStart w:id="34" w:name="_Toc149206222"/>
      <w:r>
        <w:rPr>
          <w:rFonts w:hint="eastAsia" w:ascii="宋体" w:hAnsi="宋体" w:cs="宋体"/>
          <w:color w:val="000000" w:themeColor="text1"/>
          <w:sz w:val="32"/>
          <w:szCs w:val="32"/>
          <w14:textFill>
            <w14:solidFill>
              <w14:schemeClr w14:val="tx1"/>
            </w14:solidFill>
          </w14:textFill>
        </w:rPr>
        <w:t>第二章 投标人须知</w:t>
      </w:r>
      <w:bookmarkEnd w:id="28"/>
      <w:bookmarkEnd w:id="29"/>
      <w:bookmarkEnd w:id="30"/>
      <w:bookmarkEnd w:id="31"/>
      <w:bookmarkEnd w:id="32"/>
      <w:bookmarkEnd w:id="33"/>
      <w:bookmarkEnd w:id="34"/>
    </w:p>
    <w:p w14:paraId="631C594E">
      <w:pPr>
        <w:pStyle w:val="22"/>
        <w:jc w:val="center"/>
        <w:rPr>
          <w:rFonts w:hint="eastAsia" w:ascii="宋体" w:hAnsi="宋体"/>
          <w:color w:val="000000" w:themeColor="text1"/>
          <w14:textFill>
            <w14:solidFill>
              <w14:schemeClr w14:val="tx1"/>
            </w14:solidFill>
          </w14:textFill>
        </w:rPr>
      </w:pPr>
      <w:bookmarkStart w:id="35" w:name="_Toc152045528"/>
      <w:bookmarkStart w:id="36" w:name="_Toc8486"/>
      <w:bookmarkStart w:id="37" w:name="_Toc34814175"/>
      <w:bookmarkStart w:id="38" w:name="_Toc144974496"/>
      <w:bookmarkStart w:id="39" w:name="_Toc27986208"/>
      <w:bookmarkStart w:id="40" w:name="_Toc4124"/>
      <w:bookmarkStart w:id="41" w:name="_Toc152042304"/>
      <w:bookmarkStart w:id="42" w:name="_Toc149206223"/>
      <w:bookmarkStart w:id="43" w:name="_Toc149206075"/>
      <w:r>
        <w:rPr>
          <w:rFonts w:hint="eastAsia" w:ascii="宋体" w:hAnsi="宋体"/>
          <w:color w:val="000000" w:themeColor="text1"/>
          <w14:textFill>
            <w14:solidFill>
              <w14:schemeClr w14:val="tx1"/>
            </w14:solidFill>
          </w14:textFill>
        </w:rPr>
        <w:t>投标人须知前附表</w:t>
      </w:r>
      <w:bookmarkEnd w:id="35"/>
      <w:bookmarkEnd w:id="36"/>
      <w:bookmarkEnd w:id="37"/>
      <w:bookmarkEnd w:id="38"/>
      <w:bookmarkEnd w:id="39"/>
      <w:bookmarkEnd w:id="40"/>
      <w:bookmarkEnd w:id="41"/>
      <w:bookmarkEnd w:id="42"/>
      <w:bookmarkEnd w:id="43"/>
    </w:p>
    <w:tbl>
      <w:tblPr>
        <w:tblStyle w:val="19"/>
        <w:tblW w:w="9733" w:type="dxa"/>
        <w:tblInd w:w="0" w:type="dxa"/>
        <w:tblLayout w:type="fixed"/>
        <w:tblCellMar>
          <w:top w:w="0" w:type="dxa"/>
          <w:left w:w="108" w:type="dxa"/>
          <w:bottom w:w="0" w:type="dxa"/>
          <w:right w:w="108" w:type="dxa"/>
        </w:tblCellMar>
      </w:tblPr>
      <w:tblGrid>
        <w:gridCol w:w="752"/>
        <w:gridCol w:w="2296"/>
        <w:gridCol w:w="6685"/>
      </w:tblGrid>
      <w:tr w14:paraId="1680ED61">
        <w:tblPrEx>
          <w:tblCellMar>
            <w:top w:w="0" w:type="dxa"/>
            <w:left w:w="108" w:type="dxa"/>
            <w:bottom w:w="0" w:type="dxa"/>
            <w:right w:w="108" w:type="dxa"/>
          </w:tblCellMar>
        </w:tblPrEx>
        <w:trPr>
          <w:trHeight w:val="287" w:hRule="atLeast"/>
          <w:tblHeader/>
        </w:trPr>
        <w:tc>
          <w:tcPr>
            <w:tcW w:w="752" w:type="dxa"/>
            <w:tcBorders>
              <w:top w:val="single" w:color="auto" w:sz="4" w:space="0"/>
              <w:left w:val="single" w:color="auto" w:sz="4" w:space="0"/>
              <w:bottom w:val="single" w:color="auto" w:sz="4" w:space="0"/>
              <w:right w:val="single" w:color="auto" w:sz="4" w:space="0"/>
            </w:tcBorders>
            <w:noWrap w:val="0"/>
            <w:vAlign w:val="center"/>
          </w:tcPr>
          <w:p w14:paraId="42F5F541">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2096DBE">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条款名称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F350D8B">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编列内容</w:t>
            </w:r>
          </w:p>
        </w:tc>
      </w:tr>
      <w:tr w14:paraId="5E5C9B68">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099985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640A0A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70F14405">
            <w:pPr>
              <w:spacing w:line="276"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r>
              <w:rPr>
                <w:rFonts w:hint="eastAsia" w:ascii="宋体" w:hAnsi="宋体" w:cs="宋体"/>
                <w:color w:val="000000" w:themeColor="text1"/>
                <w:szCs w:val="21"/>
                <w:lang w:eastAsia="zh-CN"/>
                <w14:textFill>
                  <w14:solidFill>
                    <w14:schemeClr w14:val="tx1"/>
                  </w14:solidFill>
                </w14:textFill>
              </w:rPr>
              <w:t>温州市市政工程建设开发有限公司</w:t>
            </w:r>
            <w:r>
              <w:rPr>
                <w:rFonts w:hint="eastAsia" w:ascii="宋体" w:hAnsi="宋体" w:cs="宋体"/>
                <w:color w:val="000000" w:themeColor="text1"/>
                <w:sz w:val="24"/>
                <w14:textFill>
                  <w14:solidFill>
                    <w14:schemeClr w14:val="tx1"/>
                  </w14:solidFill>
                </w14:textFill>
              </w:rPr>
              <w:t xml:space="preserve"> </w:t>
            </w:r>
          </w:p>
          <w:p w14:paraId="3FF8ADF3">
            <w:pPr>
              <w:spacing w:line="276"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Times New Roman"/>
                <w:i w:val="0"/>
                <w:iCs w:val="0"/>
                <w:caps w:val="0"/>
                <w:color w:val="000000" w:themeColor="text1"/>
                <w:spacing w:val="0"/>
                <w:sz w:val="21"/>
                <w:szCs w:val="21"/>
                <w:shd w:val="clear" w:color="auto" w:fill="auto"/>
                <w:lang w:eastAsia="zh-CN"/>
                <w14:textFill>
                  <w14:solidFill>
                    <w14:schemeClr w14:val="tx1"/>
                  </w14:solidFill>
                </w14:textFill>
              </w:rPr>
              <w:t>温州市</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鹿城区</w:t>
            </w:r>
            <w:r>
              <w:rPr>
                <w:rFonts w:hint="eastAsia" w:ascii="宋体" w:hAnsi="宋体" w:eastAsia="宋体" w:cs="Times New Roman"/>
                <w:i w:val="0"/>
                <w:iCs w:val="0"/>
                <w:caps w:val="0"/>
                <w:color w:val="000000" w:themeColor="text1"/>
                <w:spacing w:val="0"/>
                <w:sz w:val="21"/>
                <w:szCs w:val="21"/>
                <w:shd w:val="clear" w:color="auto" w:fill="auto"/>
                <w14:textFill>
                  <w14:solidFill>
                    <w14:schemeClr w14:val="tx1"/>
                  </w14:solidFill>
                </w14:textFill>
              </w:rPr>
              <w:t>锦绣路19号宏嘉大厦1、2幢</w:t>
            </w:r>
            <w:r>
              <w:rPr>
                <w:rFonts w:hint="eastAsia" w:ascii="宋体" w:hAnsi="宋体" w:cs="Times New Roman"/>
                <w:i w:val="0"/>
                <w:iCs w:val="0"/>
                <w:caps w:val="0"/>
                <w:color w:val="000000" w:themeColor="text1"/>
                <w:spacing w:val="0"/>
                <w:sz w:val="21"/>
                <w:szCs w:val="21"/>
                <w:shd w:val="clear" w:color="auto" w:fill="auto"/>
                <w:lang w:val="en-US" w:eastAsia="zh-CN"/>
                <w14:textFill>
                  <w14:solidFill>
                    <w14:schemeClr w14:val="tx1"/>
                  </w14:solidFill>
                </w14:textFill>
              </w:rPr>
              <w:t>3楼</w:t>
            </w:r>
          </w:p>
          <w:p w14:paraId="3AEA103C">
            <w:pPr>
              <w:spacing w:line="276" w:lineRule="auto"/>
              <w:rPr>
                <w:rFonts w:hint="eastAsia" w:ascii="宋体" w:hAnsi="宋体"/>
                <w:color w:val="000000" w:themeColor="text1"/>
                <w:sz w:val="2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eastAsia="宋体" w:cs="Times New Roman"/>
                <w:color w:val="000000" w:themeColor="text1"/>
                <w:sz w:val="21"/>
                <w:szCs w:val="21"/>
                <w:lang w:val="en-US" w:eastAsia="zh-CN"/>
                <w14:textFill>
                  <w14:solidFill>
                    <w14:schemeClr w14:val="tx1"/>
                  </w14:solidFill>
                </w14:textFill>
              </w:rPr>
              <w:t>李</w:t>
            </w:r>
            <w:r>
              <w:rPr>
                <w:rFonts w:hint="eastAsia" w:ascii="宋体" w:hAnsi="宋体" w:cs="Times New Roman"/>
                <w:color w:val="000000" w:themeColor="text1"/>
                <w:sz w:val="21"/>
                <w:szCs w:val="21"/>
                <w:lang w:val="en-US" w:eastAsia="zh-CN"/>
                <w14:textFill>
                  <w14:solidFill>
                    <w14:schemeClr w14:val="tx1"/>
                  </w14:solidFill>
                </w14:textFill>
              </w:rPr>
              <w:t>先生</w:t>
            </w:r>
            <w:r>
              <w:rPr>
                <w:rFonts w:hint="eastAsia" w:ascii="宋体" w:hAnsi="宋体"/>
                <w:color w:val="000000" w:themeColor="text1"/>
                <w:sz w:val="21"/>
                <w:szCs w:val="21"/>
                <w:lang w:eastAsia="zh-CN"/>
                <w14:textFill>
                  <w14:solidFill>
                    <w14:schemeClr w14:val="tx1"/>
                  </w14:solidFill>
                </w14:textFill>
              </w:rPr>
              <w:t>  </w:t>
            </w:r>
          </w:p>
          <w:p w14:paraId="49D0D4E1">
            <w:pPr>
              <w:spacing w:line="276" w:lineRule="auto"/>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r>
              <w:rPr>
                <w:rFonts w:hint="eastAsia" w:ascii="宋体" w:hAnsi="宋体" w:eastAsia="宋体" w:cs="Times New Roman"/>
                <w:color w:val="000000" w:themeColor="text1"/>
                <w:sz w:val="21"/>
                <w:szCs w:val="21"/>
                <w:lang w:val="en-US" w:eastAsia="zh-CN"/>
                <w14:textFill>
                  <w14:solidFill>
                    <w14:schemeClr w14:val="tx1"/>
                  </w14:solidFill>
                </w14:textFill>
              </w:rPr>
              <w:t>13587880321</w:t>
            </w:r>
          </w:p>
          <w:p w14:paraId="4EE61300">
            <w:pPr>
              <w:contextualSpacing/>
              <w:textAlignment w:val="center"/>
              <w:rPr>
                <w:rFonts w:hint="eastAsia" w:ascii="宋体" w:hAnsi="宋体" w:eastAsia="宋体" w:cs="MingLiU"/>
                <w:color w:val="000000" w:themeColor="text1"/>
                <w:kern w:val="0"/>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p>
        </w:tc>
      </w:tr>
      <w:tr w14:paraId="0FD4369C">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155304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0E096A">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93F0FB">
            <w:pPr>
              <w:contextualSpacing/>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洞头区陆域</w:t>
            </w:r>
            <w:r>
              <w:rPr>
                <w:rFonts w:hint="eastAsia" w:ascii="宋体" w:hAnsi="宋体" w:eastAsia="宋体" w:cs="宋体"/>
                <w:color w:val="000000" w:themeColor="text1"/>
                <w:sz w:val="21"/>
                <w:szCs w:val="21"/>
                <w:lang w:val="en-US" w:eastAsia="zh-CN"/>
                <w14:textFill>
                  <w14:solidFill>
                    <w14:schemeClr w14:val="tx1"/>
                  </w14:solidFill>
                </w14:textFill>
              </w:rPr>
              <w:t>引调水工程二期（金海三道段、滨海十八路段、滨海大道东段和西段）商品砼</w:t>
            </w:r>
          </w:p>
        </w:tc>
      </w:tr>
      <w:tr w14:paraId="7792B490">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A37180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639B90">
            <w:pPr>
              <w:contextualSpacing/>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建设地点</w:t>
            </w:r>
          </w:p>
        </w:tc>
        <w:tc>
          <w:tcPr>
            <w:tcW w:w="6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832D32">
            <w:pPr>
              <w:contextualSpacing/>
              <w:rPr>
                <w:rFonts w:hint="eastAsia" w:ascii="宋体" w:hAnsi="宋体" w:eastAsia="宋体" w:cs="Arial"/>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438BEAED">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D41AAC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E269DA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资金来源</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0D7C46DE">
            <w:pPr>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业主进度款</w:t>
            </w:r>
          </w:p>
        </w:tc>
      </w:tr>
      <w:tr w14:paraId="06AE3B6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584898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5F7C39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招标范围</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135F9A01">
            <w:pPr>
              <w:contextualSpacing/>
              <w:rPr>
                <w:rFonts w:ascii="宋体" w:hAnsi="宋体" w:cs="Arial"/>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0E0A38B2">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FCA72C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76A8E7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计划工期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E750475">
            <w:pPr>
              <w:pStyle w:val="17"/>
              <w:ind w:firstLine="0" w:firstLine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计划工期:</w:t>
            </w:r>
            <w:r>
              <w:rPr>
                <w:rFonts w:hint="eastAsia" w:ascii="宋体" w:hAnsi="宋体" w:cs="宋体"/>
                <w:color w:val="000000" w:themeColor="text1"/>
                <w:sz w:val="21"/>
                <w:szCs w:val="21"/>
                <w:highlight w:val="none"/>
                <w:lang w:val="en-US" w:eastAsia="zh-CN"/>
                <w14:textFill>
                  <w14:solidFill>
                    <w14:schemeClr w14:val="tx1"/>
                  </w14:solidFill>
                </w14:textFill>
              </w:rPr>
              <w:t>计划施工总工期720日历天，</w:t>
            </w:r>
            <w:r>
              <w:rPr>
                <w:rFonts w:hint="eastAsia" w:ascii="宋体" w:hAnsi="宋体" w:eastAsia="宋体" w:cs="宋体"/>
                <w:color w:val="000000" w:themeColor="text1"/>
                <w:sz w:val="21"/>
                <w:szCs w:val="21"/>
                <w:highlight w:val="none"/>
                <w:lang w:val="en-US" w:eastAsia="zh-CN"/>
                <w14:textFill>
                  <w14:solidFill>
                    <w14:schemeClr w14:val="tx1"/>
                  </w14:solidFill>
                </w14:textFill>
              </w:rPr>
              <w:t>具</w:t>
            </w:r>
            <w:r>
              <w:rPr>
                <w:rFonts w:hint="eastAsia" w:ascii="宋体" w:hAnsi="宋体" w:eastAsia="宋体" w:cs="宋体"/>
                <w:color w:val="000000" w:themeColor="text1"/>
                <w:sz w:val="21"/>
                <w:szCs w:val="21"/>
                <w:lang w:val="en-US" w:eastAsia="zh-CN"/>
                <w14:textFill>
                  <w14:solidFill>
                    <w14:schemeClr w14:val="tx1"/>
                  </w14:solidFill>
                </w14:textFill>
              </w:rPr>
              <w:t>体根据总包施工进度要求完成，服从项目部进度要求和管理</w:t>
            </w:r>
          </w:p>
          <w:p w14:paraId="7A21F5E5">
            <w:pPr>
              <w:pStyle w:val="17"/>
              <w:ind w:firstLine="0" w:firstLineChars="0"/>
              <w:rPr>
                <w:rFonts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前述所有要求的相关费用已包含中标价格内。</w:t>
            </w:r>
          </w:p>
        </w:tc>
      </w:tr>
      <w:tr w14:paraId="10D56132">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E4770F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A2187E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94C58E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见招标公告</w:t>
            </w:r>
          </w:p>
        </w:tc>
      </w:tr>
      <w:tr w14:paraId="3362D7B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70E39F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449E8F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投标人资质条件、能力和信誉</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50D0295">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（1）资质条件：见招标公告；</w:t>
            </w:r>
          </w:p>
          <w:p w14:paraId="149774D5">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（2）财务要求：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14:paraId="493ADDCE">
            <w:pPr>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（3）业绩要求：</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441492EB">
            <w:pPr>
              <w:wordWrap w:val="0"/>
              <w:ind w:firstLine="210" w:firstLineChars="100"/>
              <w:contextualSpacing/>
              <w:textAlignment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（5）项目负责人（建造师，下同）资格：</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 xml:space="preserve">； </w:t>
            </w:r>
          </w:p>
          <w:p w14:paraId="10B04F2F">
            <w:pPr>
              <w:ind w:firstLine="210" w:firstLineChars="100"/>
              <w:contextualSpacing/>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（6）其他要求：见招标公告。</w:t>
            </w:r>
          </w:p>
        </w:tc>
      </w:tr>
      <w:tr w14:paraId="7C75D255">
        <w:tblPrEx>
          <w:tblCellMar>
            <w:top w:w="0" w:type="dxa"/>
            <w:left w:w="108" w:type="dxa"/>
            <w:bottom w:w="0" w:type="dxa"/>
            <w:right w:w="108" w:type="dxa"/>
          </w:tblCellMar>
        </w:tblPrEx>
        <w:trPr>
          <w:trHeight w:val="76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18B8A1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83604C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是否接受联合体投标</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5351F6D">
            <w:pPr>
              <w:contextualSpacing/>
              <w:textAlignment w:val="center"/>
              <w:rPr>
                <w:rFonts w:hint="eastAsia" w:ascii="宋体" w:hAnsi="宋体" w:eastAsia="宋体" w:cs="宋体"/>
                <w:color w:val="000000" w:themeColor="text1"/>
                <w:szCs w:val="21"/>
                <w:lang w:eastAsia="zh-CN"/>
                <w14:textFill>
                  <w14:solidFill>
                    <w14:schemeClr w14:val="tx1"/>
                  </w14:solidFill>
                </w14:textFill>
              </w:rPr>
            </w:pPr>
            <w:bookmarkStart w:id="44" w:name="_1691758443"/>
            <w:bookmarkEnd w:id="44"/>
            <w:r>
              <w:rPr>
                <w:rFonts w:hint="eastAsia" w:ascii="宋体" w:hAnsi="宋体" w:cs="宋体"/>
                <w:color w:val="000000" w:themeColor="text1"/>
                <w:szCs w:val="21"/>
                <w14:textFill>
                  <w14:solidFill>
                    <w14:schemeClr w14:val="tx1"/>
                  </w14:solidFill>
                </w14:textFill>
              </w:rPr>
              <w:object>
                <v:shape id="_x0000_i1025" o:spt="201" type="#_x0000_t201" style="height:18pt;width:15pt;" o:ole="t" filled="f" o:preferrelative="t" stroked="f" coordsize="21600,21600">
                  <v:path/>
                  <v:fill on="f" focussize="0,0"/>
                  <v:stroke on="f"/>
                  <v:imagedata r:id="rId7" o:title=""/>
                  <o:lock v:ext="edit" aspectratio="t"/>
                  <w10:wrap type="none"/>
                  <w10:anchorlock/>
                </v:shape>
                <w:control r:id="rId6" w:name="CheckBox115617128" w:shapeid="_x0000_i1025"/>
              </w:object>
            </w:r>
            <w:r>
              <w:rPr>
                <w:rFonts w:hint="eastAsia" w:ascii="宋体" w:hAnsi="宋体" w:cs="宋体"/>
                <w:color w:val="000000" w:themeColor="text1"/>
                <w:szCs w:val="21"/>
                <w:lang w:val="en-US"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w:t>
            </w:r>
          </w:p>
        </w:tc>
      </w:tr>
      <w:tr w14:paraId="04A2C076">
        <w:tblPrEx>
          <w:tblCellMar>
            <w:top w:w="0" w:type="dxa"/>
            <w:left w:w="108" w:type="dxa"/>
            <w:bottom w:w="0" w:type="dxa"/>
            <w:right w:w="108" w:type="dxa"/>
          </w:tblCellMar>
        </w:tblPrEx>
        <w:trPr>
          <w:trHeight w:val="37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C5F75B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518651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AD99848">
            <w:pPr>
              <w:contextualSpacing/>
              <w:textAlignment w:val="center"/>
              <w:rPr>
                <w:rFonts w:hint="eastAsia" w:ascii="宋体" w:hAnsi="宋体" w:cs="宋体"/>
                <w:color w:val="000000" w:themeColor="text1"/>
                <w:szCs w:val="21"/>
                <w14:textFill>
                  <w14:solidFill>
                    <w14:schemeClr w14:val="tx1"/>
                  </w14:solidFill>
                </w14:textFill>
              </w:rPr>
            </w:pPr>
            <w:bookmarkStart w:id="45" w:name="_1691758445"/>
            <w:bookmarkEnd w:id="45"/>
            <w:r>
              <w:rPr>
                <w:rFonts w:hint="eastAsia" w:ascii="宋体" w:hAnsi="宋体" w:cs="宋体"/>
                <w:color w:val="000000" w:themeColor="text1"/>
                <w:szCs w:val="21"/>
                <w14:textFill>
                  <w14:solidFill>
                    <w14:schemeClr w14:val="tx1"/>
                  </w14:solidFill>
                </w14:textFill>
              </w:rPr>
              <w:object>
                <v:shape id="_x0000_i1026" o:spt="201" type="#_x0000_t201" style="height:18pt;width:15pt;" o:ole="t" filled="f" o:preferrelative="t" stroked="f" coordsize="21600,21600">
                  <v:path/>
                  <v:fill on="f" focussize="0,0"/>
                  <v:stroke on="f"/>
                  <v:imagedata r:id="rId9" o:title=""/>
                  <o:lock v:ext="edit" aspectratio="t"/>
                  <w10:wrap type="none"/>
                  <w10:anchorlock/>
                </v:shape>
                <w:control r:id="rId8" w:name="CheckBox115617119" w:shapeid="_x0000_i1026"/>
              </w:object>
            </w:r>
            <w:r>
              <w:rPr>
                <w:rFonts w:hint="eastAsia" w:ascii="宋体" w:hAnsi="宋体" w:cs="宋体"/>
                <w:color w:val="000000" w:themeColor="text1"/>
                <w:szCs w:val="21"/>
                <w14:textFill>
                  <w14:solidFill>
                    <w14:schemeClr w14:val="tx1"/>
                  </w14:solidFill>
                </w14:textFill>
              </w:rPr>
              <w:t>不组织</w:t>
            </w:r>
          </w:p>
        </w:tc>
      </w:tr>
      <w:tr w14:paraId="38B47FB3">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A1F8B0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B50C10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投标预备会</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99ED06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7" o:spt="201" type="#_x0000_t201" style="height:18pt;width:15pt;" o:ole="t" filled="f" o:preferrelative="t" stroked="f" coordsize="21600,21600">
                  <v:path/>
                  <v:fill on="f" focussize="0,0"/>
                  <v:stroke on="f"/>
                  <v:imagedata r:id="rId9" o:title=""/>
                  <o:lock v:ext="edit" aspectratio="t"/>
                  <w10:wrap type="none"/>
                  <w10:anchorlock/>
                </v:shape>
                <w:control r:id="rId10" w:name="CheckBox1156171201" w:shapeid="_x0000_i1027"/>
              </w:object>
            </w:r>
            <w:r>
              <w:rPr>
                <w:rFonts w:hint="eastAsia" w:ascii="宋体" w:hAnsi="宋体" w:cs="宋体"/>
                <w:color w:val="000000" w:themeColor="text1"/>
                <w:szCs w:val="21"/>
                <w14:textFill>
                  <w14:solidFill>
                    <w14:schemeClr w14:val="tx1"/>
                  </w14:solidFill>
                </w14:textFill>
              </w:rPr>
              <w:t>不召开</w:t>
            </w:r>
          </w:p>
        </w:tc>
      </w:tr>
      <w:tr w14:paraId="193F8EA3">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0A3F36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DAC380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投标人提出问题的截止时间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25D541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79C431A1">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728666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BF2E27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招标人书面澄清的时间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26FD77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14:paraId="42CA2C20">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DAC28D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0AFF21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9E1F1C5">
            <w:pPr>
              <w:ind w:firstLine="29" w:firstLineChars="14"/>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28" o:spt="201" type="#_x0000_t201" style="height:18pt;width:15pt;" o:ole="t" filled="f" o:preferrelative="t" stroked="f" coordsize="21600,21600">
                  <v:path/>
                  <v:fill on="f" focussize="0,0"/>
                  <v:stroke on="f"/>
                  <v:imagedata r:id="rId9" o:title=""/>
                  <o:lock v:ext="edit" aspectratio="t"/>
                  <w10:wrap type="none"/>
                  <w10:anchorlock/>
                </v:shape>
                <w:control r:id="rId11" w:name="CheckBox1156171161" w:shapeid="_x0000_i1028"/>
              </w:object>
            </w:r>
            <w:r>
              <w:rPr>
                <w:rFonts w:hint="eastAsia" w:ascii="宋体" w:hAnsi="宋体" w:cs="宋体"/>
                <w:color w:val="000000" w:themeColor="text1"/>
                <w:szCs w:val="21"/>
                <w14:textFill>
                  <w14:solidFill>
                    <w14:schemeClr w14:val="tx1"/>
                  </w14:solidFill>
                </w14:textFill>
              </w:rPr>
              <w:t>不允许</w:t>
            </w:r>
          </w:p>
        </w:tc>
      </w:tr>
      <w:tr w14:paraId="24F01049">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A4FA10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8D577D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偏离</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37E1968">
            <w:pPr>
              <w:contextualSpacing/>
              <w:textAlignment w:val="center"/>
              <w:rPr>
                <w:rFonts w:hint="eastAsia" w:ascii="宋体" w:hAnsi="宋体" w:cs="宋体"/>
                <w:color w:val="000000" w:themeColor="text1"/>
                <w:szCs w:val="21"/>
                <w14:textFill>
                  <w14:solidFill>
                    <w14:schemeClr w14:val="tx1"/>
                  </w14:solidFill>
                </w14:textFill>
              </w:rPr>
            </w:pPr>
            <w:bookmarkStart w:id="46" w:name="_1691767946"/>
            <w:bookmarkEnd w:id="46"/>
            <w:r>
              <w:rPr>
                <w:rFonts w:hint="eastAsia" w:ascii="宋体" w:hAnsi="宋体" w:cs="宋体"/>
                <w:color w:val="000000" w:themeColor="text1"/>
                <w:szCs w:val="21"/>
                <w14:textFill>
                  <w14:solidFill>
                    <w14:schemeClr w14:val="tx1"/>
                  </w14:solidFill>
                </w14:textFill>
              </w:rPr>
              <w:object>
                <v:shape id="_x0000_i1029" o:spt="201" type="#_x0000_t201" style="height:18pt;width:15pt;" o:ole="t" filled="f" o:preferrelative="t" stroked="f" coordsize="21600,21600">
                  <v:path/>
                  <v:fill on="f" focussize="0,0"/>
                  <v:stroke on="f"/>
                  <v:imagedata r:id="rId9" o:title=""/>
                  <o:lock v:ext="edit" aspectratio="t"/>
                  <w10:wrap type="none"/>
                  <w10:anchorlock/>
                </v:shape>
                <w:control r:id="rId12" w:name="CheckBox1156171163" w:shapeid="_x0000_i1029"/>
              </w:object>
            </w:r>
            <w:r>
              <w:rPr>
                <w:rFonts w:hint="eastAsia" w:ascii="宋体" w:hAnsi="宋体" w:cs="宋体"/>
                <w:color w:val="000000" w:themeColor="text1"/>
                <w:szCs w:val="21"/>
                <w14:textFill>
                  <w14:solidFill>
                    <w14:schemeClr w14:val="tx1"/>
                  </w14:solidFill>
                </w14:textFill>
              </w:rPr>
              <w:t>不</w:t>
            </w:r>
            <w:r>
              <w:rPr>
                <w:color w:val="000000" w:themeColor="text1"/>
                <w14:textFill>
                  <w14:solidFill>
                    <w14:schemeClr w14:val="tx1"/>
                  </w14:solidFill>
                </w14:textFill>
              </w:rPr>
              <w:t>允许</w:t>
            </w:r>
          </w:p>
        </w:tc>
      </w:tr>
      <w:tr w14:paraId="211B22C0">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C26B11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4C35F4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构成招标文件的其他材料</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2483CF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tc>
      </w:tr>
      <w:tr w14:paraId="15CF7BEE">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3FE513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2CA4AE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投标人要求澄清招标文件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F8803DE">
            <w:pPr>
              <w:contextualSpacing/>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r>
      <w:tr w14:paraId="143104BA">
        <w:tblPrEx>
          <w:tblCellMar>
            <w:top w:w="0" w:type="dxa"/>
            <w:left w:w="108" w:type="dxa"/>
            <w:bottom w:w="0" w:type="dxa"/>
            <w:right w:w="108" w:type="dxa"/>
          </w:tblCellMar>
        </w:tblPrEx>
        <w:trPr>
          <w:trHeight w:val="465"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F4C849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C6B3F5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713C0C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见招标时间安排表</w:t>
            </w:r>
          </w:p>
        </w:tc>
      </w:tr>
      <w:tr w14:paraId="1D3FAD4D">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BE3386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465D1D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投标人确认收到招标文件澄清的时间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062FAD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14:paraId="2A3D491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2.2.3投标人应自行查看上述内容，不须作收到确认。</w:t>
            </w:r>
          </w:p>
        </w:tc>
      </w:tr>
      <w:tr w14:paraId="4912A831">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F866F5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CFDACB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投标人确认收到招标文件修改的时间</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C8C907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w:t>
            </w:r>
          </w:p>
          <w:p w14:paraId="7D6DCED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投标人应自行查看上述内容，不须作收到确认。</w:t>
            </w:r>
          </w:p>
        </w:tc>
      </w:tr>
      <w:tr w14:paraId="41551F0B">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324409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C82E07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构成投标文件的其他材料及要求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D213F84">
            <w:pPr>
              <w:ind w:firstLine="420" w:firstLineChars="200"/>
              <w:contextualSpacing/>
              <w:textAlignment w:val="center"/>
              <w:rPr>
                <w:rFonts w:hint="eastAsia" w:ascii="宋体" w:hAnsi="宋体"/>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w:t>
            </w:r>
          </w:p>
        </w:tc>
      </w:tr>
      <w:tr w14:paraId="1FFF9A47">
        <w:tblPrEx>
          <w:tblCellMar>
            <w:top w:w="0" w:type="dxa"/>
            <w:left w:w="108" w:type="dxa"/>
            <w:bottom w:w="0" w:type="dxa"/>
            <w:right w:w="108" w:type="dxa"/>
          </w:tblCellMar>
        </w:tblPrEx>
        <w:trPr>
          <w:trHeight w:val="46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4EB953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ADFAF7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977F725">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90日历天</w:t>
            </w:r>
          </w:p>
        </w:tc>
      </w:tr>
      <w:tr w14:paraId="70781AA9">
        <w:tblPrEx>
          <w:tblCellMar>
            <w:top w:w="0" w:type="dxa"/>
            <w:left w:w="108" w:type="dxa"/>
            <w:bottom w:w="0" w:type="dxa"/>
            <w:right w:w="108" w:type="dxa"/>
          </w:tblCellMar>
        </w:tblPrEx>
        <w:trPr>
          <w:trHeight w:val="215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0E633D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13B13B8">
            <w:pPr>
              <w:contextualSpacing/>
              <w:textAlignment w:val="center"/>
              <w:rPr>
                <w:rFonts w:hint="eastAsia" w:ascii="宋体" w:hAnsi="宋体" w:cs="宋体"/>
                <w:b/>
                <w:bCs/>
                <w:color w:val="FF0000"/>
                <w:szCs w:val="21"/>
              </w:rPr>
            </w:pPr>
            <w:r>
              <w:rPr>
                <w:rFonts w:hint="eastAsia" w:ascii="宋体" w:hAnsi="宋体" w:cs="宋体"/>
                <w:b/>
                <w:bCs/>
                <w:color w:val="FF0000"/>
                <w:szCs w:val="21"/>
              </w:rPr>
              <w:t>投标保证金</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FD0193A">
            <w:pPr>
              <w:pStyle w:val="14"/>
              <w:ind w:left="0" w:leftChars="0" w:firstLine="0" w:firstLineChars="0"/>
              <w:rPr>
                <w:rFonts w:hint="eastAsia" w:eastAsia="宋体"/>
                <w:b/>
                <w:bCs/>
                <w:color w:val="FF0000"/>
                <w:lang w:val="en-US" w:eastAsia="zh-CN"/>
              </w:rPr>
            </w:pPr>
            <w:r>
              <w:rPr>
                <w:rFonts w:hint="eastAsia" w:ascii="宋体" w:hAnsi="宋体" w:cs="Arial"/>
                <w:b/>
                <w:bCs/>
                <w:color w:val="FF0000"/>
                <w:szCs w:val="21"/>
                <w:lang w:val="en-US" w:eastAsia="zh-CN"/>
              </w:rPr>
              <w:t>不做要求</w:t>
            </w:r>
          </w:p>
        </w:tc>
      </w:tr>
      <w:tr w14:paraId="1D617FC1">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7E45EC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3D8750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近年财务状况的年份要求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2840E54">
            <w:pPr>
              <w:contextualSpacing/>
              <w:textAlignment w:val="center"/>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p>
        </w:tc>
      </w:tr>
      <w:tr w14:paraId="07F27413">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74C4FA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78BFA8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近年完成的类似项目的年份要求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213F567">
            <w:pPr>
              <w:contextualSpacing/>
              <w:textAlignment w:val="center"/>
              <w:rPr>
                <w:rFonts w:ascii="宋体" w:hAnsi="宋体" w:cs="宋体"/>
                <w:color w:val="000000" w:themeColor="text1"/>
                <w:szCs w:val="21"/>
                <w14:textFill>
                  <w14:solidFill>
                    <w14:schemeClr w14:val="tx1"/>
                  </w14:solidFill>
                </w14:textFill>
              </w:rPr>
            </w:pPr>
            <w:bookmarkStart w:id="47" w:name="_1692080419"/>
            <w:bookmarkEnd w:id="47"/>
            <w:r>
              <w:rPr>
                <w:rFonts w:hint="eastAsia" w:ascii="宋体" w:hAnsi="宋体" w:cs="宋体"/>
                <w:color w:val="000000" w:themeColor="text1"/>
                <w:szCs w:val="21"/>
                <w14:textFill>
                  <w14:solidFill>
                    <w14:schemeClr w14:val="tx1"/>
                  </w14:solidFill>
                </w14:textFill>
              </w:rPr>
              <w:object>
                <v:shape id="_x0000_i1030" o:spt="201" type="#_x0000_t201" style="height:18pt;width:15pt;" o:ole="t" filled="f" o:preferrelative="t" stroked="f" coordsize="21600,21600">
                  <v:path/>
                  <v:fill on="f" focussize="0,0"/>
                  <v:stroke on="f"/>
                  <v:imagedata r:id="rId9" o:title=""/>
                  <o:lock v:ext="edit" aspectratio="t"/>
                  <w10:wrap type="none"/>
                  <w10:anchorlock/>
                </v:shape>
                <w:control r:id="rId13" w:name="CheckBox115617151" w:shapeid="_x0000_i1030"/>
              </w:object>
            </w:r>
            <w:r>
              <w:rPr>
                <w:rFonts w:hint="eastAsia" w:ascii="宋体" w:hAnsi="宋体" w:cs="宋体"/>
                <w:color w:val="000000" w:themeColor="text1"/>
                <w:szCs w:val="21"/>
                <w14:textFill>
                  <w14:solidFill>
                    <w14:schemeClr w14:val="tx1"/>
                  </w14:solidFill>
                </w14:textFill>
              </w:rPr>
              <w:t xml:space="preserve"> 无</w:t>
            </w:r>
          </w:p>
        </w:tc>
      </w:tr>
      <w:tr w14:paraId="3A1FF8F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2F3D02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BD959B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近年发生的诉讼及仲裁情况的年份要求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F568429">
            <w:pPr>
              <w:contextualSpacing/>
              <w:textAlignment w:val="center"/>
              <w:rPr>
                <w:rFonts w:hint="eastAsia" w:ascii="宋体" w:hAnsi="宋体" w:cs="宋体"/>
                <w:color w:val="000000" w:themeColor="text1"/>
                <w:szCs w:val="21"/>
                <w14:textFill>
                  <w14:solidFill>
                    <w14:schemeClr w14:val="tx1"/>
                  </w14:solidFill>
                </w14:textFill>
              </w:rPr>
            </w:pPr>
            <w:bookmarkStart w:id="48" w:name="_1691758458"/>
            <w:bookmarkEnd w:id="48"/>
            <w:r>
              <w:rPr>
                <w:rFonts w:hint="eastAsia" w:ascii="宋体" w:hAnsi="宋体" w:cs="宋体"/>
                <w:color w:val="000000" w:themeColor="text1"/>
                <w:szCs w:val="21"/>
                <w14:textFill>
                  <w14:solidFill>
                    <w14:schemeClr w14:val="tx1"/>
                  </w14:solidFill>
                </w14:textFill>
              </w:rPr>
              <w:object>
                <v:shape id="_x0000_i1031" o:spt="201" type="#_x0000_t201" style="height:18pt;width:15pt;" o:ole="t" filled="f" o:preferrelative="t" stroked="f" coordsize="21600,21600">
                  <v:path/>
                  <v:fill on="f" focussize="0,0"/>
                  <v:stroke on="f"/>
                  <v:imagedata r:id="rId9" o:title=""/>
                  <o:lock v:ext="edit" aspectratio="t"/>
                  <w10:wrap type="none"/>
                  <w10:anchorlock/>
                </v:shape>
                <w:control r:id="rId14" w:name="CheckBox11561715111" w:shapeid="_x0000_i1031"/>
              </w:object>
            </w:r>
            <w:r>
              <w:rPr>
                <w:rFonts w:hint="eastAsia" w:ascii="宋体" w:hAnsi="宋体" w:cs="宋体"/>
                <w:color w:val="000000" w:themeColor="text1"/>
                <w:szCs w:val="21"/>
                <w14:textFill>
                  <w14:solidFill>
                    <w14:schemeClr w14:val="tx1"/>
                  </w14:solidFill>
                </w14:textFill>
              </w:rPr>
              <w:t>投标单位近三年无因拖欠农民工工资行为被相关部门处罚或被法院判决执行（以处罚或判决时间为准），须提供无拖欠农民工工资的承诺函；（格式自拟）</w:t>
            </w:r>
          </w:p>
        </w:tc>
      </w:tr>
      <w:tr w14:paraId="47B78702">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FD0E27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89526B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是否允许递交备选投标方案</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30B90C7">
            <w:pPr>
              <w:contextualSpacing/>
              <w:textAlignment w:val="center"/>
              <w:rPr>
                <w:rFonts w:hint="eastAsia" w:ascii="宋体" w:hAnsi="宋体" w:cs="宋体"/>
                <w:color w:val="000000" w:themeColor="text1"/>
                <w:szCs w:val="21"/>
                <w14:textFill>
                  <w14:solidFill>
                    <w14:schemeClr w14:val="tx1"/>
                  </w14:solidFill>
                </w14:textFill>
              </w:rPr>
            </w:pPr>
            <w:bookmarkStart w:id="49" w:name="_1691758459"/>
            <w:bookmarkEnd w:id="49"/>
            <w:r>
              <w:rPr>
                <w:rFonts w:hint="eastAsia" w:ascii="宋体" w:hAnsi="宋体" w:cs="宋体"/>
                <w:color w:val="000000" w:themeColor="text1"/>
                <w:szCs w:val="21"/>
                <w14:textFill>
                  <w14:solidFill>
                    <w14:schemeClr w14:val="tx1"/>
                  </w14:solidFill>
                </w14:textFill>
              </w:rPr>
              <w:object>
                <v:shape id="_x0000_i1032" o:spt="201" type="#_x0000_t201" style="height:18pt;width:15pt;" o:ole="t" filled="f" o:preferrelative="t" stroked="f" coordsize="21600,21600">
                  <v:path/>
                  <v:fill on="f" focussize="0,0"/>
                  <v:stroke on="f"/>
                  <v:imagedata r:id="rId9" o:title=""/>
                  <o:lock v:ext="edit" aspectratio="t"/>
                  <w10:wrap type="none"/>
                  <w10:anchorlock/>
                </v:shape>
                <w:control r:id="rId15" w:name="CheckBox11561712" w:shapeid="_x0000_i1032"/>
              </w:object>
            </w:r>
            <w:r>
              <w:rPr>
                <w:rFonts w:hint="eastAsia" w:ascii="宋体" w:hAnsi="宋体" w:cs="宋体"/>
                <w:color w:val="000000" w:themeColor="text1"/>
                <w:szCs w:val="21"/>
                <w14:textFill>
                  <w14:solidFill>
                    <w14:schemeClr w14:val="tx1"/>
                  </w14:solidFill>
                </w14:textFill>
              </w:rPr>
              <w:t>不允许</w:t>
            </w:r>
          </w:p>
        </w:tc>
      </w:tr>
      <w:tr w14:paraId="0D051F95">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6F684F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2D950A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投标文件编制要求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9C60B7B">
            <w:pPr>
              <w:adjustRightInd w:val="0"/>
              <w:spacing w:line="240" w:lineRule="exac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技术资信标编制要求：</w:t>
            </w:r>
          </w:p>
          <w:p w14:paraId="2C66DD9C">
            <w:pPr>
              <w:spacing w:line="240" w:lineRule="exact"/>
              <w:contextualSpacing/>
              <w:textAlignment w:val="center"/>
              <w:rPr>
                <w:rFonts w:hint="eastAsia" w:ascii="宋体" w:hAnsi="宋体" w:eastAsia="宋体" w:cs="宋体"/>
                <w:color w:val="000000" w:themeColor="text1"/>
                <w:szCs w:val="21"/>
                <w:lang w:eastAsia="zh-CN"/>
                <w14:textFill>
                  <w14:solidFill>
                    <w14:schemeClr w14:val="tx1"/>
                  </w14:solidFill>
                </w14:textFill>
              </w:rPr>
            </w:pPr>
            <w:r>
              <w:rPr>
                <w:rFonts w:ascii="MS UI Gothic" w:hAnsi="MS UI Gothic" w:eastAsia="MS UI Gothic" w:cs="MS UI Gothic"/>
                <w:color w:val="000000" w:themeColor="text1"/>
                <w:spacing w:val="-3"/>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不要求 </w:t>
            </w:r>
          </w:p>
        </w:tc>
      </w:tr>
      <w:tr w14:paraId="6EF079C6">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D954E8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F27A0E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签字或盖章要求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5AB3A69">
            <w:pPr>
              <w:ind w:right="5"/>
              <w:contextualSpacing/>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商务标相应地方应加盖单位公章（不得以投标专用章、分公司章等其他形式印章代替,下同）并经单位法定代表人或者其授权委托代理人签字或盖章。</w:t>
            </w:r>
          </w:p>
        </w:tc>
      </w:tr>
      <w:tr w14:paraId="093D950F">
        <w:tblPrEx>
          <w:tblCellMar>
            <w:top w:w="0" w:type="dxa"/>
            <w:left w:w="108" w:type="dxa"/>
            <w:bottom w:w="0" w:type="dxa"/>
            <w:right w:w="108" w:type="dxa"/>
          </w:tblCellMar>
        </w:tblPrEx>
        <w:trPr>
          <w:trHeight w:val="48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5D89E5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54C498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CC5D9E2">
            <w:pPr>
              <w:tabs>
                <w:tab w:val="center" w:pos="4153"/>
                <w:tab w:val="right" w:pos="8306"/>
              </w:tabs>
              <w:textAlignment w:val="center"/>
              <w:rPr>
                <w:rFonts w:hint="eastAsia"/>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商务标一份正本，</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份副本</w:t>
            </w:r>
          </w:p>
        </w:tc>
      </w:tr>
      <w:tr w14:paraId="7B9B9079">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3FEB93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16BB54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装订要求</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17103ADB">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根据本章第3.1项规定的投标文件组成内容，按以下要求装订：</w:t>
            </w:r>
          </w:p>
          <w:p w14:paraId="497853BA">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fldChar w:fldCharType="begin"/>
            </w:r>
            <w:r>
              <w:rPr>
                <w:rFonts w:hint="eastAsia" w:ascii="宋体" w:hAnsi="宋体" w:cs="宋体"/>
                <w:color w:val="000000" w:themeColor="text1"/>
                <w:sz w:val="21"/>
                <w:szCs w:val="21"/>
                <w:lang w:val="en-US" w:eastAsia="zh-CN"/>
                <w14:textFill>
                  <w14:solidFill>
                    <w14:schemeClr w14:val="tx1"/>
                  </w14:solidFill>
                </w14:textFill>
              </w:rPr>
              <w:instrText xml:space="preserve"> eq \o\ac(□,√)</w:instrText>
            </w:r>
            <w:r>
              <w:rPr>
                <w:rFonts w:hint="eastAsia" w:ascii="宋体" w:hAnsi="宋体" w:cs="宋体"/>
                <w:color w:val="000000" w:themeColor="text1"/>
                <w:sz w:val="21"/>
                <w:szCs w:val="21"/>
                <w:lang w:val="en-US" w:eastAsia="zh-CN"/>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分册装订，分别为：</w:t>
            </w:r>
          </w:p>
          <w:p w14:paraId="54ACCA06">
            <w:pPr>
              <w:pStyle w:val="12"/>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（1）商务标（含资格审查资料）；</w:t>
            </w:r>
          </w:p>
          <w:p w14:paraId="11586F27">
            <w:pPr>
              <w:pStyle w:val="12"/>
              <w:jc w:val="both"/>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中标单位须提供</w:t>
            </w:r>
            <w:r>
              <w:rPr>
                <w:rFonts w:hint="eastAsia" w:ascii="宋体" w:hAnsi="宋体" w:cs="宋体"/>
                <w:b/>
                <w:bCs/>
                <w:color w:val="000000" w:themeColor="text1"/>
                <w:sz w:val="21"/>
                <w:szCs w:val="21"/>
                <w:u w:val="none"/>
                <w:lang w:val="en-US" w:eastAsia="zh-CN"/>
                <w14:textFill>
                  <w14:solidFill>
                    <w14:schemeClr w14:val="tx1"/>
                  </w14:solidFill>
                </w14:textFill>
              </w:rPr>
              <w:t>盖章版</w:t>
            </w:r>
            <w:r>
              <w:rPr>
                <w:rFonts w:hint="eastAsia" w:ascii="宋体" w:hAnsi="宋体" w:cs="宋体"/>
                <w:b/>
                <w:bCs/>
                <w:color w:val="000000" w:themeColor="text1"/>
                <w:sz w:val="21"/>
                <w:szCs w:val="21"/>
                <w:lang w:val="en-US" w:eastAsia="zh-CN"/>
                <w14:textFill>
                  <w14:solidFill>
                    <w14:schemeClr w14:val="tx1"/>
                  </w14:solidFill>
                </w14:textFill>
              </w:rPr>
              <w:t>电子投标文件（PDF格式），可中标后提供</w:t>
            </w:r>
          </w:p>
        </w:tc>
      </w:tr>
      <w:tr w14:paraId="46225C96">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55C75D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B2E9DAE">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投标文件的密封</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BAE71E3">
            <w:pPr>
              <w:pStyle w:val="6"/>
              <w:topLinePunct/>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ascii="Times New Roman" w:hAnsi="宋体"/>
                <w:color w:val="000000" w:themeColor="text1"/>
                <w:sz w:val="21"/>
                <w:szCs w:val="21"/>
                <w:lang w:val="en-US" w:eastAsia="zh-CN"/>
                <w14:textFill>
                  <w14:solidFill>
                    <w14:schemeClr w14:val="tx1"/>
                  </w14:solidFill>
                </w14:textFill>
              </w:rPr>
              <w:t>商务标单独密封。</w:t>
            </w:r>
          </w:p>
          <w:p w14:paraId="4D688234">
            <w:pPr>
              <w:rPr>
                <w:rFonts w:hint="eastAsia" w:ascii="宋体"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2、商务标封面封套等均需注明项目名称和投标人名称等标记，纸质投标文件封面、封套、封条等均由投标人自行制作。</w:t>
            </w:r>
          </w:p>
        </w:tc>
      </w:tr>
      <w:tr w14:paraId="3462C208">
        <w:tblPrEx>
          <w:tblCellMar>
            <w:top w:w="0" w:type="dxa"/>
            <w:left w:w="108" w:type="dxa"/>
            <w:bottom w:w="0" w:type="dxa"/>
            <w:right w:w="108" w:type="dxa"/>
          </w:tblCellMar>
        </w:tblPrEx>
        <w:trPr>
          <w:trHeight w:val="4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0F551D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F82DD0">
            <w:pPr>
              <w:contextualSpacing/>
              <w:textAlignment w:val="center"/>
              <w:rPr>
                <w:rFonts w:hint="eastAsia" w:ascii="宋体" w:hAnsi="宋体" w:cs="宋体"/>
                <w:b/>
                <w:bCs/>
                <w:color w:val="FF0000"/>
                <w:szCs w:val="21"/>
              </w:rPr>
            </w:pPr>
            <w:r>
              <w:rPr>
                <w:rFonts w:hint="eastAsia" w:ascii="宋体" w:hAnsi="宋体" w:cs="宋体"/>
                <w:b/>
                <w:bCs/>
                <w:color w:val="FF0000"/>
                <w:szCs w:val="21"/>
              </w:rPr>
              <w:t>递交投标文件地点</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B4D8A88">
            <w:pPr>
              <w:rPr>
                <w:rFonts w:hint="default" w:ascii="宋体" w:hAnsi="宋体" w:eastAsia="宋体"/>
                <w:b/>
                <w:bCs/>
                <w:color w:val="FF0000"/>
                <w:lang w:val="en-US" w:eastAsia="zh-CN"/>
              </w:rPr>
            </w:pP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3楼1号会议室</w:t>
            </w:r>
          </w:p>
        </w:tc>
      </w:tr>
      <w:tr w14:paraId="30DEFD04">
        <w:tblPrEx>
          <w:tblCellMar>
            <w:top w:w="0" w:type="dxa"/>
            <w:left w:w="108" w:type="dxa"/>
            <w:bottom w:w="0" w:type="dxa"/>
            <w:right w:w="108" w:type="dxa"/>
          </w:tblCellMar>
        </w:tblPrEx>
        <w:trPr>
          <w:trHeight w:val="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5A9E8CE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4.2.3</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48D1A1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是否退还投标文件</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E08BBA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3" o:spt="201" type="#_x0000_t201" style="height:18pt;width:15pt;" o:ole="t" filled="f" o:preferrelative="t" stroked="f" coordsize="21600,21600">
                  <v:path/>
                  <v:fill on="f" focussize="0,0"/>
                  <v:stroke on="f"/>
                  <v:imagedata r:id="rId9" o:title=""/>
                  <o:lock v:ext="edit" aspectratio="t"/>
                  <w10:wrap type="none"/>
                  <w10:anchorlock/>
                </v:shape>
                <w:control r:id="rId16" w:name="CheckBox115611112121" w:shapeid="_x0000_i1033"/>
              </w:object>
            </w:r>
            <w:r>
              <w:rPr>
                <w:rFonts w:hint="eastAsia" w:ascii="宋体" w:hAnsi="宋体" w:cs="宋体"/>
                <w:color w:val="000000" w:themeColor="text1"/>
                <w:szCs w:val="21"/>
                <w14:textFill>
                  <w14:solidFill>
                    <w14:schemeClr w14:val="tx1"/>
                  </w14:solidFill>
                </w14:textFill>
              </w:rPr>
              <w:t>否</w:t>
            </w:r>
          </w:p>
        </w:tc>
      </w:tr>
      <w:tr w14:paraId="03263F4D">
        <w:tblPrEx>
          <w:tblCellMar>
            <w:top w:w="0" w:type="dxa"/>
            <w:left w:w="108" w:type="dxa"/>
            <w:bottom w:w="0" w:type="dxa"/>
            <w:right w:w="108" w:type="dxa"/>
          </w:tblCellMar>
        </w:tblPrEx>
        <w:trPr>
          <w:trHeight w:val="458"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558D32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9747E2C">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签收凭证</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7EDEB7D9">
            <w:pPr>
              <w:contextualSpacing/>
              <w:textAlignment w:val="center"/>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本项细化为：投标人递交投标文件并签到即视为招标人收到投标文件。</w:t>
            </w:r>
          </w:p>
        </w:tc>
      </w:tr>
      <w:tr w14:paraId="14FC0E24">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7E4A532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2296" w:type="dxa"/>
            <w:tcBorders>
              <w:top w:val="single" w:color="auto" w:sz="4" w:space="0"/>
              <w:left w:val="single" w:color="auto" w:sz="4" w:space="0"/>
              <w:right w:val="single" w:color="auto" w:sz="4" w:space="0"/>
            </w:tcBorders>
            <w:noWrap w:val="0"/>
            <w:vAlign w:val="center"/>
          </w:tcPr>
          <w:p w14:paraId="615B4D99">
            <w:pPr>
              <w:contextualSpacing/>
              <w:textAlignment w:val="center"/>
              <w:rPr>
                <w:rFonts w:hint="eastAsia" w:ascii="宋体" w:hAnsi="宋体" w:cs="宋体"/>
                <w:b/>
                <w:bCs/>
                <w:color w:val="FF0000"/>
                <w:szCs w:val="21"/>
              </w:rPr>
            </w:pPr>
            <w:r>
              <w:rPr>
                <w:rFonts w:hint="eastAsia" w:ascii="宋体" w:hAnsi="宋体" w:cs="宋体"/>
                <w:b/>
                <w:bCs/>
                <w:color w:val="FF0000"/>
                <w:szCs w:val="21"/>
              </w:rPr>
              <w:t>开标时间和地点</w:t>
            </w:r>
          </w:p>
        </w:tc>
        <w:tc>
          <w:tcPr>
            <w:tcW w:w="6685" w:type="dxa"/>
            <w:tcBorders>
              <w:top w:val="single" w:color="auto" w:sz="4" w:space="0"/>
              <w:left w:val="single" w:color="auto" w:sz="4" w:space="0"/>
              <w:right w:val="single" w:color="auto" w:sz="4" w:space="0"/>
            </w:tcBorders>
            <w:noWrap w:val="0"/>
            <w:vAlign w:val="center"/>
          </w:tcPr>
          <w:p w14:paraId="5832E3DA">
            <w:pPr>
              <w:contextualSpacing/>
              <w:textAlignment w:val="center"/>
              <w:rPr>
                <w:rFonts w:hint="eastAsia" w:ascii="宋体" w:hAnsi="宋体" w:cs="宋体"/>
                <w:b/>
                <w:bCs/>
                <w:color w:val="FF0000"/>
                <w:szCs w:val="21"/>
              </w:rPr>
            </w:pPr>
            <w:r>
              <w:rPr>
                <w:rFonts w:hint="eastAsia" w:ascii="宋体" w:hAnsi="宋体" w:cs="宋体"/>
                <w:b/>
                <w:bCs/>
                <w:color w:val="FF0000"/>
                <w:szCs w:val="21"/>
              </w:rPr>
              <w:t>开标时间：同投标截止时间</w:t>
            </w:r>
          </w:p>
          <w:p w14:paraId="3D29350C">
            <w:pPr>
              <w:contextualSpacing/>
              <w:textAlignment w:val="center"/>
              <w:rPr>
                <w:rFonts w:hint="eastAsia" w:ascii="宋体" w:hAnsi="宋体" w:cs="宋体"/>
                <w:b/>
                <w:bCs/>
                <w:color w:val="FF0000"/>
                <w:szCs w:val="21"/>
              </w:rPr>
            </w:pPr>
            <w:r>
              <w:rPr>
                <w:rFonts w:hint="eastAsia" w:ascii="宋体" w:hAnsi="宋体" w:cs="宋体"/>
                <w:b/>
                <w:bCs/>
                <w:color w:val="FF0000"/>
                <w:szCs w:val="21"/>
              </w:rPr>
              <w:t>开标地点：</w:t>
            </w:r>
            <w:r>
              <w:rPr>
                <w:rFonts w:hint="eastAsia" w:ascii="宋体" w:hAnsi="宋体" w:cs="Times New Roman"/>
                <w:b/>
                <w:bCs/>
                <w:i w:val="0"/>
                <w:iCs w:val="0"/>
                <w:caps w:val="0"/>
                <w:color w:val="FF0000"/>
                <w:spacing w:val="0"/>
                <w:sz w:val="21"/>
                <w:szCs w:val="21"/>
                <w:shd w:val="clear" w:color="auto" w:fill="auto"/>
                <w:lang w:eastAsia="zh-CN"/>
              </w:rPr>
              <w:t>温州市</w:t>
            </w:r>
            <w:r>
              <w:rPr>
                <w:rFonts w:hint="eastAsia" w:ascii="宋体" w:hAnsi="宋体" w:cs="Times New Roman"/>
                <w:b/>
                <w:bCs/>
                <w:i w:val="0"/>
                <w:iCs w:val="0"/>
                <w:caps w:val="0"/>
                <w:color w:val="FF0000"/>
                <w:spacing w:val="0"/>
                <w:sz w:val="21"/>
                <w:szCs w:val="21"/>
                <w:shd w:val="clear" w:color="auto" w:fill="auto"/>
                <w:lang w:val="en-US" w:eastAsia="zh-CN"/>
              </w:rPr>
              <w:t>鹿城区</w:t>
            </w:r>
            <w:r>
              <w:rPr>
                <w:rFonts w:hint="eastAsia" w:ascii="宋体" w:hAnsi="宋体" w:eastAsia="宋体" w:cs="Times New Roman"/>
                <w:b/>
                <w:bCs/>
                <w:i w:val="0"/>
                <w:iCs w:val="0"/>
                <w:caps w:val="0"/>
                <w:color w:val="FF0000"/>
                <w:spacing w:val="0"/>
                <w:sz w:val="21"/>
                <w:szCs w:val="21"/>
                <w:shd w:val="clear" w:color="auto" w:fill="auto"/>
              </w:rPr>
              <w:t>锦绣路19号宏嘉大厦1、2幢</w:t>
            </w:r>
            <w:r>
              <w:rPr>
                <w:rFonts w:hint="eastAsia" w:ascii="宋体" w:hAnsi="宋体" w:cs="Times New Roman"/>
                <w:b/>
                <w:bCs/>
                <w:i w:val="0"/>
                <w:iCs w:val="0"/>
                <w:caps w:val="0"/>
                <w:color w:val="FF0000"/>
                <w:spacing w:val="0"/>
                <w:sz w:val="21"/>
                <w:szCs w:val="21"/>
                <w:shd w:val="clear" w:color="auto" w:fill="auto"/>
                <w:lang w:val="en-US" w:eastAsia="zh-CN"/>
              </w:rPr>
              <w:t>3楼1号会议室</w:t>
            </w:r>
          </w:p>
        </w:tc>
      </w:tr>
      <w:tr w14:paraId="6DAE9B86">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5C04D559">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c>
          <w:tcPr>
            <w:tcW w:w="2296" w:type="dxa"/>
            <w:tcBorders>
              <w:top w:val="single" w:color="auto" w:sz="4" w:space="0"/>
              <w:left w:val="single" w:color="auto" w:sz="4" w:space="0"/>
              <w:right w:val="single" w:color="auto" w:sz="4" w:space="0"/>
            </w:tcBorders>
            <w:noWrap w:val="0"/>
            <w:vAlign w:val="center"/>
          </w:tcPr>
          <w:p w14:paraId="5BF8B68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开标程序</w:t>
            </w:r>
          </w:p>
        </w:tc>
        <w:tc>
          <w:tcPr>
            <w:tcW w:w="6685" w:type="dxa"/>
            <w:tcBorders>
              <w:top w:val="single" w:color="auto" w:sz="4" w:space="0"/>
              <w:left w:val="single" w:color="auto" w:sz="4" w:space="0"/>
              <w:right w:val="single" w:color="auto" w:sz="4" w:space="0"/>
            </w:tcBorders>
            <w:noWrap w:val="0"/>
            <w:vAlign w:val="center"/>
          </w:tcPr>
          <w:p w14:paraId="511AF304">
            <w:pPr>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（1）密封情况检查：符合第二章“投标人须知”第4.1款的要求</w:t>
            </w:r>
          </w:p>
          <w:p w14:paraId="2C8ED9D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（2）开标顺序：一般按投标文件送达时间的逆顺序开标；在开标室同时开启所有投标文件。</w:t>
            </w:r>
          </w:p>
        </w:tc>
      </w:tr>
      <w:tr w14:paraId="49BB1D0D">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47E44E8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w:t>
            </w:r>
          </w:p>
        </w:tc>
        <w:tc>
          <w:tcPr>
            <w:tcW w:w="2296" w:type="dxa"/>
            <w:tcBorders>
              <w:top w:val="single" w:color="auto" w:sz="4" w:space="0"/>
              <w:left w:val="single" w:color="auto" w:sz="4" w:space="0"/>
              <w:right w:val="single" w:color="auto" w:sz="4" w:space="0"/>
            </w:tcBorders>
            <w:noWrap w:val="0"/>
            <w:vAlign w:val="center"/>
          </w:tcPr>
          <w:p w14:paraId="28FBBFFA">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评标委员会的组建</w:t>
            </w:r>
          </w:p>
        </w:tc>
        <w:tc>
          <w:tcPr>
            <w:tcW w:w="6685" w:type="dxa"/>
            <w:tcBorders>
              <w:top w:val="single" w:color="auto" w:sz="4" w:space="0"/>
              <w:left w:val="single" w:color="auto" w:sz="4" w:space="0"/>
              <w:right w:val="single" w:color="auto" w:sz="4" w:space="0"/>
            </w:tcBorders>
            <w:noWrap w:val="0"/>
            <w:vAlign w:val="center"/>
          </w:tcPr>
          <w:p w14:paraId="6F37FB83">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评标委员会构成：</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人及</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人以上单数</w:t>
            </w:r>
            <w:r>
              <w:rPr>
                <w:rFonts w:hint="eastAsia" w:ascii="宋体" w:hAnsi="宋体" w:cs="宋体"/>
                <w:color w:val="000000" w:themeColor="text1"/>
                <w:szCs w:val="21"/>
                <w14:textFill>
                  <w14:solidFill>
                    <w14:schemeClr w14:val="tx1"/>
                  </w14:solidFill>
                </w14:textFill>
              </w:rPr>
              <w:t>；</w:t>
            </w:r>
          </w:p>
          <w:p w14:paraId="226D6E8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评标专家确定方式：</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olor w:val="000000" w:themeColor="text1"/>
                <w:u w:val="single"/>
                <w14:textFill>
                  <w14:solidFill>
                    <w14:schemeClr w14:val="tx1"/>
                  </w14:solidFill>
                </w14:textFill>
              </w:rPr>
              <w:t>规定</w:t>
            </w:r>
            <w:r>
              <w:rPr>
                <w:rFonts w:hint="eastAsia" w:ascii="宋体" w:hAnsi="宋体" w:cs="宋体"/>
                <w:color w:val="000000" w:themeColor="text1"/>
                <w:szCs w:val="21"/>
                <w:u w:val="single"/>
                <w14:textFill>
                  <w14:solidFill>
                    <w14:schemeClr w14:val="tx1"/>
                  </w14:solidFill>
                </w14:textFill>
              </w:rPr>
              <w:t>组建。</w:t>
            </w:r>
          </w:p>
        </w:tc>
      </w:tr>
      <w:tr w14:paraId="0D0EA649">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right w:val="single" w:color="auto" w:sz="4" w:space="0"/>
            </w:tcBorders>
            <w:noWrap w:val="0"/>
            <w:vAlign w:val="center"/>
          </w:tcPr>
          <w:p w14:paraId="2549C5C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7.1</w:t>
            </w:r>
          </w:p>
        </w:tc>
        <w:tc>
          <w:tcPr>
            <w:tcW w:w="2296" w:type="dxa"/>
            <w:tcBorders>
              <w:top w:val="single" w:color="auto" w:sz="4" w:space="0"/>
              <w:left w:val="single" w:color="auto" w:sz="4" w:space="0"/>
              <w:right w:val="single" w:color="auto" w:sz="4" w:space="0"/>
            </w:tcBorders>
            <w:noWrap w:val="0"/>
            <w:vAlign w:val="center"/>
          </w:tcPr>
          <w:p w14:paraId="3E26DAE6">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是否授权评标委员会确定中标人</w:t>
            </w:r>
          </w:p>
        </w:tc>
        <w:tc>
          <w:tcPr>
            <w:tcW w:w="6685" w:type="dxa"/>
            <w:tcBorders>
              <w:top w:val="single" w:color="auto" w:sz="4" w:space="0"/>
              <w:left w:val="single" w:color="auto" w:sz="4" w:space="0"/>
              <w:right w:val="single" w:color="auto" w:sz="4" w:space="0"/>
            </w:tcBorders>
            <w:noWrap w:val="0"/>
            <w:vAlign w:val="center"/>
          </w:tcPr>
          <w:p w14:paraId="03A3B2AF">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object>
                <v:shape id="_x0000_i1034" o:spt="201" type="#_x0000_t201" style="height:18pt;width:15pt;" o:ole="t" filled="f" o:preferrelative="t" stroked="f" coordsize="21600,21600">
                  <v:path/>
                  <v:fill on="f" focussize="0,0"/>
                  <v:stroke on="f"/>
                  <v:imagedata r:id="rId9" o:title=""/>
                  <o:lock v:ext="edit" aspectratio="t"/>
                  <w10:wrap type="none"/>
                  <w10:anchorlock/>
                </v:shape>
                <w:control r:id="rId17" w:name="CheckBox115611112128" w:shapeid="_x0000_i1034"/>
              </w:object>
            </w:r>
            <w:r>
              <w:rPr>
                <w:rFonts w:hint="eastAsia" w:ascii="宋体" w:hAnsi="宋体" w:cs="宋体"/>
                <w:color w:val="000000" w:themeColor="text1"/>
                <w:szCs w:val="21"/>
                <w14:textFill>
                  <w14:solidFill>
                    <w14:schemeClr w14:val="tx1"/>
                  </w14:solidFill>
                </w14:textFill>
              </w:rPr>
              <w:t>否，推荐的中标候选人数：1人</w:t>
            </w:r>
          </w:p>
        </w:tc>
      </w:tr>
      <w:tr w14:paraId="051776D1">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2FC4F02">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7.3.1</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013CCA2">
            <w:pPr>
              <w:contextualSpacing/>
              <w:textAlignment w:val="center"/>
              <w:rPr>
                <w:rFonts w:hint="eastAsia" w:ascii="宋体" w:hAnsi="宋体" w:cs="宋体"/>
                <w:b/>
                <w:bCs/>
                <w:color w:val="FF0000"/>
                <w:szCs w:val="21"/>
              </w:rPr>
            </w:pPr>
            <w:r>
              <w:rPr>
                <w:rFonts w:hint="eastAsia" w:ascii="宋体" w:hAnsi="宋体" w:cs="宋体"/>
                <w:b/>
                <w:bCs/>
                <w:color w:val="FF0000"/>
                <w:szCs w:val="21"/>
              </w:rPr>
              <w:t>履约担保</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5756C02E">
            <w:pPr>
              <w:pStyle w:val="23"/>
              <w:spacing w:line="380" w:lineRule="exact"/>
              <w:ind w:firstLine="0" w:firstLineChars="0"/>
              <w:textAlignment w:val="auto"/>
              <w:rPr>
                <w:rFonts w:hint="eastAsia"/>
                <w:b/>
                <w:i w:val="0"/>
                <w:iCs w:val="0"/>
                <w:color w:val="000000" w:themeColor="text1"/>
                <w:szCs w:val="21"/>
                <w:lang w:val="en-US" w:eastAsia="zh-CN"/>
                <w14:textFill>
                  <w14:solidFill>
                    <w14:schemeClr w14:val="tx1"/>
                  </w14:solidFill>
                </w14:textFill>
              </w:rPr>
            </w:pPr>
            <w:r>
              <w:rPr>
                <w:rFonts w:hint="eastAsia"/>
                <w:b/>
                <w:i w:val="0"/>
                <w:iCs w:val="0"/>
                <w:color w:val="000000" w:themeColor="text1"/>
                <w:szCs w:val="21"/>
                <w:lang w:val="en-US" w:eastAsia="zh-CN"/>
                <w14:textFill>
                  <w14:solidFill>
                    <w14:schemeClr w14:val="tx1"/>
                  </w14:solidFill>
                </w14:textFill>
              </w:rPr>
              <w:t>履约担保的金额:合同总价的2%。</w:t>
            </w:r>
          </w:p>
          <w:p w14:paraId="1C94C692">
            <w:pPr>
              <w:pStyle w:val="23"/>
              <w:spacing w:line="380" w:lineRule="exact"/>
              <w:ind w:firstLine="0" w:firstLineChars="0"/>
              <w:textAlignment w:val="auto"/>
              <w:rPr>
                <w:rFonts w:hint="default" w:ascii="宋体" w:hAnsi="宋体" w:eastAsia="宋体" w:cs="宋体"/>
                <w:b/>
                <w:bCs/>
                <w:color w:val="FF0000"/>
                <w:szCs w:val="21"/>
                <w:lang w:val="en-US" w:eastAsia="zh-CN"/>
              </w:rPr>
            </w:pPr>
            <w:r>
              <w:rPr>
                <w:rFonts w:hint="eastAsia"/>
                <w:b/>
                <w:bCs w:val="0"/>
                <w:i w:val="0"/>
                <w:iCs w:val="0"/>
                <w:color w:val="000000" w:themeColor="text1"/>
                <w:szCs w:val="21"/>
                <w:lang w:val="en-US" w:eastAsia="zh-CN"/>
                <w14:textFill>
                  <w14:solidFill>
                    <w14:schemeClr w14:val="tx1"/>
                  </w14:solidFill>
                </w14:textFill>
              </w:rPr>
              <w:t>履约担保</w:t>
            </w:r>
            <w:r>
              <w:rPr>
                <w:rFonts w:hint="eastAsia" w:ascii="宋体" w:hAnsi="宋体" w:eastAsia="宋体" w:cs="宋体"/>
                <w:b/>
                <w:bCs w:val="0"/>
                <w:color w:val="000000"/>
                <w:kern w:val="0"/>
                <w:sz w:val="21"/>
                <w:szCs w:val="21"/>
                <w:lang w:val="en-US" w:eastAsia="zh-CN" w:bidi="ar"/>
              </w:rPr>
              <w:t>支付担保的形式</w:t>
            </w:r>
            <w:r>
              <w:rPr>
                <w:rFonts w:hint="eastAsia"/>
                <w:b/>
                <w:bCs w:val="0"/>
                <w:i w:val="0"/>
                <w:iCs w:val="0"/>
                <w:color w:val="000000" w:themeColor="text1"/>
                <w:szCs w:val="21"/>
                <w:lang w:val="en-US" w:eastAsia="zh-CN"/>
                <w14:textFill>
                  <w14:solidFill>
                    <w14:schemeClr w14:val="tx1"/>
                  </w14:solidFill>
                </w14:textFill>
              </w:rPr>
              <w:t>:转账</w:t>
            </w:r>
            <w:r>
              <w:rPr>
                <w:rFonts w:hint="eastAsia"/>
                <w:b/>
                <w:i w:val="0"/>
                <w:iCs w:val="0"/>
                <w:color w:val="000000" w:themeColor="text1"/>
                <w:szCs w:val="21"/>
                <w:lang w:val="en-US" w:eastAsia="zh-CN"/>
                <w14:textFill>
                  <w14:solidFill>
                    <w14:schemeClr w14:val="tx1"/>
                  </w14:solidFill>
                </w14:textFill>
              </w:rPr>
              <w:t>。</w:t>
            </w:r>
          </w:p>
        </w:tc>
      </w:tr>
      <w:tr w14:paraId="6228074A">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22699986">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048A5AA6">
            <w:pPr>
              <w:contextualSpacing/>
              <w:textAlignment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需要补充的其他内容</w:t>
            </w:r>
          </w:p>
        </w:tc>
      </w:tr>
      <w:tr w14:paraId="528FE635">
        <w:tblPrEx>
          <w:tblCellMar>
            <w:top w:w="0" w:type="dxa"/>
            <w:left w:w="108" w:type="dxa"/>
            <w:bottom w:w="0" w:type="dxa"/>
            <w:right w:w="108" w:type="dxa"/>
          </w:tblCellMar>
        </w:tblPrEx>
        <w:trPr>
          <w:trHeight w:val="2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CB0AF17">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2AC4AC6B">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解释权与说明</w:t>
            </w:r>
          </w:p>
        </w:tc>
      </w:tr>
      <w:tr w14:paraId="1CD8E616">
        <w:tblPrEx>
          <w:tblCellMar>
            <w:top w:w="0" w:type="dxa"/>
            <w:left w:w="108" w:type="dxa"/>
            <w:bottom w:w="0" w:type="dxa"/>
            <w:right w:w="108" w:type="dxa"/>
          </w:tblCellMar>
        </w:tblPrEx>
        <w:trPr>
          <w:trHeight w:val="603"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5E0BB70">
            <w:pPr>
              <w:contextualSpacing/>
              <w:textAlignment w:val="center"/>
              <w:rPr>
                <w:rFonts w:hint="eastAsia" w:ascii="宋体" w:hAnsi="宋体" w:cs="宋体"/>
                <w:color w:val="000000" w:themeColor="text1"/>
                <w:szCs w:val="21"/>
                <w14:textFill>
                  <w14:solidFill>
                    <w14:schemeClr w14:val="tx1"/>
                  </w14:solidFill>
                </w14:textFill>
              </w:rPr>
            </w:pPr>
          </w:p>
        </w:tc>
        <w:tc>
          <w:tcPr>
            <w:tcW w:w="8981" w:type="dxa"/>
            <w:gridSpan w:val="2"/>
            <w:tcBorders>
              <w:top w:val="single" w:color="auto" w:sz="4" w:space="0"/>
              <w:left w:val="single" w:color="auto" w:sz="4" w:space="0"/>
              <w:bottom w:val="single" w:color="auto" w:sz="4" w:space="0"/>
              <w:right w:val="single" w:color="auto" w:sz="4" w:space="0"/>
            </w:tcBorders>
            <w:noWrap w:val="0"/>
            <w:vAlign w:val="center"/>
          </w:tcPr>
          <w:p w14:paraId="67FF4D5D">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（1）投标人须知的内容如与投标人须知前附表不一致，以投标人须知前附表为准。评标办法的内容如与评标办法须知前附表不一致，以评标办法前附表为准。</w:t>
            </w:r>
          </w:p>
          <w:p w14:paraId="259BFB30">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（2）发布招标公告的媒体网站供下载的招标文件与纸质招标文件不一致的，以招标公告的媒体网站供下载的招标文件为准。</w:t>
            </w:r>
          </w:p>
          <w:p w14:paraId="02ED67C3">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构成招标文件组成部分的“合同通用条款”、“合同专用条款”、“技术标准和要求”和“招标工程量清单”等章节中出现的措辞“承包人”和“分包人”，在招标投标阶段应当分别按“招标人”和“投标人”进行理解。构成招标文件的各章节中出现的措辞“项目负责人”和“项目经理”互为解释。</w:t>
            </w:r>
          </w:p>
          <w:p w14:paraId="75B41631">
            <w:pPr>
              <w:ind w:firstLine="420" w:firstLineChars="200"/>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0079E2C8">
        <w:tblPrEx>
          <w:tblCellMar>
            <w:top w:w="0" w:type="dxa"/>
            <w:left w:w="108" w:type="dxa"/>
            <w:bottom w:w="0" w:type="dxa"/>
            <w:right w:w="108" w:type="dxa"/>
          </w:tblCellMar>
        </w:tblPrEx>
        <w:trPr>
          <w:trHeight w:val="577"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1994BBD4">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87B1BF9">
            <w:pPr>
              <w:adjustRightInd w:val="0"/>
              <w:snapToGrid w:val="0"/>
              <w:jc w:val="center"/>
              <w:textAlignment w:val="baseline"/>
              <w:rPr>
                <w:rFonts w:ascii="宋体" w:hAnsi="宋体" w:cs="宋体"/>
                <w:b/>
                <w:bCs/>
                <w:color w:val="FF0000"/>
                <w:szCs w:val="21"/>
              </w:rPr>
            </w:pPr>
            <w:r>
              <w:rPr>
                <w:rFonts w:hint="eastAsia" w:ascii="宋体" w:hAnsi="宋体" w:cs="宋体"/>
                <w:b/>
                <w:bCs/>
                <w:color w:val="FF0000"/>
                <w:szCs w:val="21"/>
              </w:rPr>
              <w:t>投标限价</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202E6933">
            <w:pPr>
              <w:adjustRightInd w:val="0"/>
              <w:snapToGrid w:val="0"/>
              <w:textAlignment w:val="baseline"/>
              <w:rPr>
                <w:rFonts w:hint="default" w:ascii="宋体" w:hAnsi="宋体" w:cs="宋体"/>
                <w:b/>
                <w:bCs/>
                <w:color w:val="FF0000"/>
                <w:szCs w:val="21"/>
                <w:lang w:val="en-US"/>
              </w:rPr>
            </w:pPr>
            <w:r>
              <w:rPr>
                <w:rFonts w:hint="eastAsia" w:ascii="宋体" w:hAnsi="宋体"/>
                <w:b/>
                <w:bCs/>
                <w:color w:val="FF0000"/>
                <w:sz w:val="24"/>
                <w:szCs w:val="24"/>
              </w:rPr>
              <w:t>按温州市住建委建设工程造价管理处发布的</w:t>
            </w:r>
            <w:r>
              <w:rPr>
                <w:rFonts w:hint="eastAsia" w:ascii="宋体" w:hAnsi="宋体"/>
                <w:b/>
                <w:bCs/>
                <w:color w:val="FF0000"/>
                <w:sz w:val="24"/>
                <w:szCs w:val="24"/>
                <w:lang w:val="en-US" w:eastAsia="zh-CN"/>
              </w:rPr>
              <w:t>当</w:t>
            </w:r>
            <w:r>
              <w:rPr>
                <w:rFonts w:hint="eastAsia" w:ascii="宋体" w:hAnsi="宋体"/>
                <w:b/>
                <w:bCs/>
                <w:color w:val="FF0000"/>
                <w:sz w:val="24"/>
                <w:szCs w:val="24"/>
              </w:rPr>
              <w:t>月</w:t>
            </w:r>
            <w:r>
              <w:rPr>
                <w:rFonts w:hint="eastAsia" w:ascii="宋体" w:hAnsi="宋体"/>
                <w:b/>
                <w:bCs/>
                <w:color w:val="FF0000"/>
                <w:sz w:val="24"/>
                <w:szCs w:val="24"/>
                <w:lang w:eastAsia="zh-CN"/>
              </w:rPr>
              <w:t>含税</w:t>
            </w:r>
            <w:r>
              <w:rPr>
                <w:rFonts w:hint="eastAsia" w:ascii="宋体" w:hAnsi="宋体"/>
                <w:b/>
                <w:bCs/>
                <w:color w:val="FF0000"/>
                <w:sz w:val="24"/>
                <w:szCs w:val="24"/>
              </w:rPr>
              <w:t>信息价下浮</w:t>
            </w:r>
            <w:r>
              <w:rPr>
                <w:rFonts w:ascii="宋体" w:hAnsi="宋体"/>
                <w:b/>
                <w:bCs/>
                <w:color w:val="FF0000"/>
                <w:sz w:val="24"/>
                <w:szCs w:val="24"/>
                <w:u w:val="single"/>
              </w:rPr>
              <w:t xml:space="preserve">  </w:t>
            </w:r>
            <w:r>
              <w:rPr>
                <w:rFonts w:hint="eastAsia" w:ascii="宋体" w:hAnsi="宋体"/>
                <w:b/>
                <w:bCs/>
                <w:color w:val="FF0000"/>
                <w:sz w:val="24"/>
                <w:szCs w:val="24"/>
                <w:u w:val="single"/>
                <w:lang w:val="en-US" w:eastAsia="zh-CN"/>
              </w:rPr>
              <w:t>75</w:t>
            </w:r>
            <w:r>
              <w:rPr>
                <w:rFonts w:hint="eastAsia" w:ascii="宋体" w:hAnsi="宋体"/>
                <w:b/>
                <w:bCs/>
                <w:color w:val="FF0000"/>
                <w:sz w:val="24"/>
                <w:szCs w:val="24"/>
                <w:u w:val="single"/>
              </w:rPr>
              <w:t xml:space="preserve">  </w:t>
            </w:r>
            <w:r>
              <w:rPr>
                <w:rFonts w:hint="eastAsia" w:ascii="宋体" w:hAnsi="宋体"/>
                <w:b/>
                <w:bCs/>
                <w:color w:val="FF0000"/>
                <w:sz w:val="24"/>
                <w:szCs w:val="24"/>
              </w:rPr>
              <w:t>元</w:t>
            </w:r>
            <w:r>
              <w:rPr>
                <w:rFonts w:ascii="宋体" w:hAnsi="宋体"/>
                <w:b/>
                <w:bCs/>
                <w:color w:val="FF0000"/>
                <w:sz w:val="24"/>
                <w:szCs w:val="24"/>
              </w:rPr>
              <w:t>/</w:t>
            </w:r>
            <w:r>
              <w:rPr>
                <w:rFonts w:hint="eastAsia" w:ascii="宋体" w:hAnsi="宋体"/>
                <w:b/>
                <w:bCs/>
                <w:color w:val="FF0000"/>
                <w:sz w:val="24"/>
                <w:szCs w:val="24"/>
                <w:lang w:eastAsia="zh-CN"/>
              </w:rPr>
              <w:t>m³</w:t>
            </w:r>
            <w:r>
              <w:rPr>
                <w:rFonts w:hint="eastAsia" w:ascii="宋体" w:hAnsi="宋体"/>
                <w:b/>
                <w:bCs/>
                <w:color w:val="FF0000"/>
                <w:sz w:val="24"/>
                <w:szCs w:val="24"/>
                <w:vertAlign w:val="baseline"/>
                <w:lang w:val="en-US" w:eastAsia="zh-CN"/>
              </w:rPr>
              <w:t>起</w:t>
            </w:r>
            <w:r>
              <w:rPr>
                <w:rFonts w:hint="eastAsia" w:ascii="宋体" w:hAnsi="宋体"/>
                <w:b/>
                <w:bCs/>
                <w:color w:val="FF0000"/>
                <w:sz w:val="24"/>
                <w:szCs w:val="24"/>
              </w:rPr>
              <w:t>执行</w:t>
            </w:r>
            <w:r>
              <w:rPr>
                <w:rFonts w:hint="eastAsia" w:ascii="宋体" w:hAnsi="宋体"/>
                <w:b/>
                <w:bCs/>
                <w:color w:val="FF0000"/>
                <w:sz w:val="24"/>
                <w:szCs w:val="24"/>
                <w:lang w:eastAsia="zh-CN"/>
              </w:rPr>
              <w:t>；乙方提供</w:t>
            </w:r>
            <w:r>
              <w:rPr>
                <w:rFonts w:hint="eastAsia" w:ascii="宋体" w:hAnsi="宋体"/>
                <w:b/>
                <w:bCs/>
                <w:color w:val="FF0000"/>
                <w:sz w:val="24"/>
                <w:szCs w:val="24"/>
                <w:lang w:val="en-US" w:eastAsia="zh-CN"/>
              </w:rPr>
              <w:t xml:space="preserve">3%增值税专用发票。 </w:t>
            </w:r>
          </w:p>
        </w:tc>
      </w:tr>
      <w:tr w14:paraId="2BCB8F6A">
        <w:tblPrEx>
          <w:tblCellMar>
            <w:top w:w="0" w:type="dxa"/>
            <w:left w:w="108" w:type="dxa"/>
            <w:bottom w:w="0" w:type="dxa"/>
            <w:right w:w="108" w:type="dxa"/>
          </w:tblCellMar>
        </w:tblPrEx>
        <w:trPr>
          <w:trHeight w:val="849"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468620FD">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BCA6E60">
            <w:pPr>
              <w:adjustRightInd w:val="0"/>
              <w:snapToGrid w:val="0"/>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投标报价的其他要求</w:t>
            </w:r>
          </w:p>
        </w:tc>
        <w:tc>
          <w:tcPr>
            <w:tcW w:w="6685" w:type="dxa"/>
            <w:tcBorders>
              <w:top w:val="single" w:color="auto" w:sz="4" w:space="0"/>
              <w:left w:val="single" w:color="auto" w:sz="4" w:space="0"/>
              <w:bottom w:val="single" w:color="auto" w:sz="4" w:space="0"/>
              <w:right w:val="single" w:color="auto" w:sz="4" w:space="0"/>
            </w:tcBorders>
            <w:noWrap w:val="0"/>
            <w:vAlign w:val="top"/>
          </w:tcPr>
          <w:p w14:paraId="73C378AB">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、报价应包括但不限于包括</w:t>
            </w:r>
            <w:r>
              <w:rPr>
                <w:rFonts w:hint="eastAsia" w:ascii="宋体" w:hAnsi="宋体" w:eastAsia="宋体" w:cs="宋体"/>
                <w:color w:val="000000" w:themeColor="text1"/>
                <w:highlight w:val="none"/>
                <w:lang w:val="en-US" w:eastAsia="zh-CN"/>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费、包装运输、装卸、仓储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保险、成品保护</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税收、利润、不可预见费</w:t>
            </w:r>
            <w:r>
              <w:rPr>
                <w:rFonts w:hint="eastAsia" w:ascii="宋体" w:hAnsi="宋体" w:eastAsia="宋体" w:cs="宋体"/>
                <w:color w:val="000000" w:themeColor="text1"/>
                <w:highlight w:val="none"/>
                <w:lang w:eastAsia="zh-CN"/>
                <w14:textFill>
                  <w14:solidFill>
                    <w14:schemeClr w14:val="tx1"/>
                  </w14:solidFill>
                </w14:textFill>
              </w:rPr>
              <w:t>、非人为因素和自然灾害及不可力抗所造成的损坏维修费用</w:t>
            </w:r>
            <w:r>
              <w:rPr>
                <w:rFonts w:hint="eastAsia" w:ascii="宋体" w:hAnsi="宋体" w:eastAsia="宋体" w:cs="宋体"/>
                <w:color w:val="000000" w:themeColor="text1"/>
                <w:highlight w:val="none"/>
                <w:lang w:val="en-US" w:eastAsia="zh-CN"/>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w:t>
            </w:r>
          </w:p>
          <w:p w14:paraId="5880BD6E">
            <w:pPr>
              <w:spacing w:line="24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国家规定的增值税税金，除投标人须知前附表另有规定外，增值税税金按一般计税方法计算。投标人应按“投标文件格式”的要求在投标函中进行报价。投标人报价应综合考虑招标文件规定的招标范围、工期、质量、付款方式等一切要求以及现场踏勘的情况。</w:t>
            </w:r>
          </w:p>
          <w:p w14:paraId="6E49F2CD">
            <w:pPr>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3、以上报价投标方已充分考虑，包括了停水、停电、窝工、冬雨季所发生费用等因素。</w:t>
            </w:r>
          </w:p>
        </w:tc>
      </w:tr>
      <w:tr w14:paraId="7D6B5A1A">
        <w:tblPrEx>
          <w:tblCellMar>
            <w:top w:w="0" w:type="dxa"/>
            <w:left w:w="108" w:type="dxa"/>
            <w:bottom w:w="0" w:type="dxa"/>
            <w:right w:w="108" w:type="dxa"/>
          </w:tblCellMar>
        </w:tblPrEx>
        <w:trPr>
          <w:trHeight w:val="744"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72A83D60">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10.6</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22E7D6B">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价款结算方式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73158B9">
            <w:pPr>
              <w:ind w:left="6" w:hanging="6"/>
              <w:contextualSpacing/>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最终根据实际供货的数量进行结算</w:t>
            </w:r>
          </w:p>
        </w:tc>
      </w:tr>
      <w:tr w14:paraId="5FA3B63D">
        <w:tblPrEx>
          <w:tblCellMar>
            <w:top w:w="0" w:type="dxa"/>
            <w:left w:w="108" w:type="dxa"/>
            <w:bottom w:w="0" w:type="dxa"/>
            <w:right w:w="108" w:type="dxa"/>
          </w:tblCellMar>
        </w:tblPrEx>
        <w:trPr>
          <w:trHeight w:val="3190"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8288BA1">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10.7</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BA2C7B">
            <w:pPr>
              <w:contextualSpacing/>
              <w:jc w:val="center"/>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工程款支付方式</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0FF22C1A">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（1）预付款</w:t>
            </w:r>
          </w:p>
          <w:p w14:paraId="547C623E">
            <w:pPr>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无</w:t>
            </w:r>
          </w:p>
          <w:p w14:paraId="28EBA63D">
            <w:pPr>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（2）合同款支付</w:t>
            </w:r>
          </w:p>
          <w:p w14:paraId="2F2CA015">
            <w:pPr>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按供货量付款，每月货后按供货量及中标下浮金额率结合当月信息价计算价款，在收到开具的合规的全额增值税专用发票后60个工作日内付该批次 85%货款，供货量完成并验收合格后，经双方办理结算后三个月内支付余款:</w:t>
            </w:r>
          </w:p>
        </w:tc>
      </w:tr>
      <w:tr w14:paraId="5AC92207">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07BA8F4D">
            <w:pPr>
              <w:contextualSpacing/>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10.8</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BE9AF0C">
            <w:pPr>
              <w:contextualSpacing/>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双方特别约定 </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63CD26BA">
            <w:pPr>
              <w:ind w:left="6" w:hanging="6"/>
              <w:contextualSpacing/>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①本合同约定的所有款项，包括但不限于预付款、设备款、安装款、质量保证金等，因</w:t>
            </w:r>
            <w:r>
              <w:rPr>
                <w:rFonts w:hint="eastAsia" w:ascii="宋体" w:hAnsi="宋体"/>
                <w:b/>
                <w:color w:val="000000" w:themeColor="text1"/>
                <w:szCs w:val="21"/>
                <w:lang w:val="en-US" w:eastAsia="zh-CN"/>
                <w14:textFill>
                  <w14:solidFill>
                    <w14:schemeClr w14:val="tx1"/>
                  </w14:solidFill>
                </w14:textFill>
              </w:rPr>
              <w:t>工程</w:t>
            </w:r>
            <w:r>
              <w:rPr>
                <w:rFonts w:hint="eastAsia" w:ascii="宋体" w:hAnsi="宋体"/>
                <w:b/>
                <w:color w:val="000000" w:themeColor="text1"/>
                <w:szCs w:val="21"/>
                <w14:textFill>
                  <w14:solidFill>
                    <w14:schemeClr w14:val="tx1"/>
                  </w14:solidFill>
                </w14:textFill>
              </w:rPr>
              <w:t>业主方未足额支付或退还至</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中标方</w:t>
            </w:r>
            <w:r>
              <w:rPr>
                <w:rFonts w:hint="eastAsia" w:ascii="宋体" w:hAnsi="宋体"/>
                <w:b/>
                <w:color w:val="000000" w:themeColor="text1"/>
                <w:szCs w:val="21"/>
                <w14:textFill>
                  <w14:solidFill>
                    <w14:schemeClr w14:val="tx1"/>
                  </w14:solidFill>
                </w14:textFill>
              </w:rPr>
              <w:t>放弃以任何形式向</w:t>
            </w:r>
            <w:r>
              <w:rPr>
                <w:rFonts w:hint="eastAsia" w:ascii="宋体" w:hAnsi="宋体"/>
                <w:b/>
                <w:color w:val="000000" w:themeColor="text1"/>
                <w:szCs w:val="21"/>
                <w:lang w:val="en-US" w:eastAsia="zh-CN"/>
                <w14:textFill>
                  <w14:solidFill>
                    <w14:schemeClr w14:val="tx1"/>
                  </w14:solidFill>
                </w14:textFill>
              </w:rPr>
              <w:t>招标人</w:t>
            </w:r>
            <w:r>
              <w:rPr>
                <w:rFonts w:hint="eastAsia" w:ascii="宋体" w:hAnsi="宋体"/>
                <w:b/>
                <w:color w:val="000000" w:themeColor="text1"/>
                <w:szCs w:val="21"/>
                <w14:textFill>
                  <w14:solidFill>
                    <w14:schemeClr w14:val="tx1"/>
                  </w14:solidFill>
                </w14:textFill>
              </w:rPr>
              <w:t>主张以上款项。</w:t>
            </w:r>
          </w:p>
        </w:tc>
      </w:tr>
      <w:tr w14:paraId="242FDEFD">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6CA00BA8">
            <w:pPr>
              <w:contextualSpacing/>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en-US" w:eastAsia="zh-CN"/>
                <w14:textFill>
                  <w14:solidFill>
                    <w14:schemeClr w14:val="tx1"/>
                  </w14:solidFill>
                </w14:textFill>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657D6D0">
            <w:pPr>
              <w:contextualSpacing/>
              <w:jc w:val="center"/>
              <w:textAlignment w:val="center"/>
              <w:rPr>
                <w:rFonts w:hint="eastAsia" w:ascii="宋体" w:hAnsi="宋体" w:cs="宋体"/>
                <w:b/>
                <w:bCs/>
                <w:color w:val="FF0000"/>
                <w:szCs w:val="21"/>
              </w:rPr>
            </w:pPr>
            <w:r>
              <w:rPr>
                <w:rFonts w:hint="eastAsia" w:ascii="宋体" w:hAnsi="宋体" w:cs="宋体"/>
                <w:b/>
                <w:bCs/>
                <w:color w:val="FF0000"/>
                <w:szCs w:val="21"/>
              </w:rPr>
              <w:t>其他</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31DF228F">
            <w:pPr>
              <w:ind w:left="6" w:leftChars="0" w:hanging="6" w:firstLineChars="0"/>
              <w:contextualSpacing/>
              <w:rPr>
                <w:rFonts w:hint="eastAsia" w:ascii="宋体" w:hAnsi="宋体" w:eastAsia="宋体"/>
                <w:b/>
                <w:bCs/>
                <w:color w:val="FF0000"/>
                <w:szCs w:val="21"/>
                <w:lang w:val="en-US" w:eastAsia="zh-CN"/>
              </w:rPr>
            </w:pPr>
            <w:r>
              <w:rPr>
                <w:rFonts w:hint="eastAsia" w:ascii="宋体" w:hAnsi="宋体"/>
                <w:b/>
                <w:bCs/>
                <w:color w:val="FF0000"/>
                <w:szCs w:val="21"/>
                <w:lang w:val="en-US" w:eastAsia="zh-CN"/>
              </w:rPr>
              <w:t>/</w:t>
            </w:r>
          </w:p>
        </w:tc>
      </w:tr>
      <w:tr w14:paraId="7EEB4FBE">
        <w:tblPrEx>
          <w:tblCellMar>
            <w:top w:w="0" w:type="dxa"/>
            <w:left w:w="108" w:type="dxa"/>
            <w:bottom w:w="0" w:type="dxa"/>
            <w:right w:w="108" w:type="dxa"/>
          </w:tblCellMar>
        </w:tblPrEx>
        <w:trPr>
          <w:trHeight w:val="636" w:hRule="atLeast"/>
        </w:trPr>
        <w:tc>
          <w:tcPr>
            <w:tcW w:w="752" w:type="dxa"/>
            <w:tcBorders>
              <w:top w:val="single" w:color="auto" w:sz="4" w:space="0"/>
              <w:left w:val="single" w:color="auto" w:sz="4" w:space="0"/>
              <w:bottom w:val="single" w:color="auto" w:sz="4" w:space="0"/>
              <w:right w:val="single" w:color="auto" w:sz="4" w:space="0"/>
            </w:tcBorders>
            <w:noWrap w:val="0"/>
            <w:vAlign w:val="center"/>
          </w:tcPr>
          <w:p w14:paraId="387B2F34">
            <w:pPr>
              <w:contextualSpacing/>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10.10</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3F91E85">
            <w:pPr>
              <w:contextualSpacing/>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特别说明</w:t>
            </w:r>
          </w:p>
        </w:tc>
        <w:tc>
          <w:tcPr>
            <w:tcW w:w="6685" w:type="dxa"/>
            <w:tcBorders>
              <w:top w:val="single" w:color="auto" w:sz="4" w:space="0"/>
              <w:left w:val="single" w:color="auto" w:sz="4" w:space="0"/>
              <w:bottom w:val="single" w:color="auto" w:sz="4" w:space="0"/>
              <w:right w:val="single" w:color="auto" w:sz="4" w:space="0"/>
            </w:tcBorders>
            <w:noWrap w:val="0"/>
            <w:vAlign w:val="center"/>
          </w:tcPr>
          <w:p w14:paraId="486E6C5D">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运至指定地点后，由</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人验收。如因装卸或运输不当造成数量缺损等，由中标人承担责任。</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人有权对每批次供货的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进行抽检，相关费用由中标人承担。</w:t>
            </w:r>
          </w:p>
          <w:p w14:paraId="55E79ADF">
            <w:pPr>
              <w:numPr>
                <w:ilvl w:val="0"/>
                <w:numId w:val="0"/>
              </w:numPr>
              <w:ind w:left="0" w:leftChars="0" w:firstLine="0" w:firstLineChars="0"/>
              <w:contextualSpacing/>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（2）在供货期间如</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人发现</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存在质量问题时，</w:t>
            </w:r>
            <w:r>
              <w:rPr>
                <w:rFonts w:hint="eastAsia" w:ascii="宋体" w:hAnsi="宋体" w:cs="宋体"/>
                <w:color w:val="000000" w:themeColor="text1"/>
                <w:kern w:val="0"/>
                <w:szCs w:val="21"/>
                <w:lang w:val="en-US" w:eastAsia="zh-CN"/>
                <w14:textFill>
                  <w14:solidFill>
                    <w14:schemeClr w14:val="tx1"/>
                  </w14:solidFill>
                </w14:textFill>
              </w:rPr>
              <w:t>招标</w:t>
            </w:r>
            <w:r>
              <w:rPr>
                <w:rFonts w:hint="eastAsia" w:ascii="宋体" w:hAnsi="宋体" w:cs="宋体"/>
                <w:color w:val="000000" w:themeColor="text1"/>
                <w:kern w:val="0"/>
                <w:szCs w:val="21"/>
                <w14:textFill>
                  <w14:solidFill>
                    <w14:schemeClr w14:val="tx1"/>
                  </w14:solidFill>
                </w14:textFill>
              </w:rPr>
              <w:t>人有权对存在问题的</w:t>
            </w:r>
            <w:r>
              <w:rPr>
                <w:rFonts w:hint="eastAsia"/>
                <w:color w:val="000000" w:themeColor="text1"/>
                <w:szCs w:val="21"/>
                <w14:textFill>
                  <w14:solidFill>
                    <w14:schemeClr w14:val="tx1"/>
                  </w14:solidFill>
                </w14:textFill>
              </w:rPr>
              <w:t>建筑材料</w:t>
            </w:r>
            <w:r>
              <w:rPr>
                <w:rFonts w:hint="eastAsia" w:ascii="宋体" w:hAnsi="宋体" w:cs="宋体"/>
                <w:color w:val="000000" w:themeColor="text1"/>
                <w:kern w:val="0"/>
                <w:szCs w:val="21"/>
                <w14:textFill>
                  <w14:solidFill>
                    <w14:schemeClr w14:val="tx1"/>
                  </w14:solidFill>
                </w14:textFill>
              </w:rPr>
              <w:t>进行取样、封存，并委托试验检测单位进行检验，相关费用由中标人承担。</w:t>
            </w:r>
          </w:p>
          <w:p w14:paraId="3999131A">
            <w:pPr>
              <w:numPr>
                <w:ilvl w:val="0"/>
                <w:numId w:val="0"/>
              </w:numPr>
              <w:ind w:left="0" w:leftChars="0" w:firstLine="0" w:firstLineChars="0"/>
              <w:contextualSpacing/>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中标人在合同有效期内，不得无理由终止合同，确有特殊情况的，须提前两个月向</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提出书面申请，经</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同意后，方可终止合同，同时酌情扣除履约保证金</w:t>
            </w:r>
            <w:r>
              <w:rPr>
                <w:rFonts w:hint="eastAsia" w:ascii="Times New Roman" w:hAnsi="Times New Roman" w:cs="Times New Roman"/>
                <w:color w:val="000000" w:themeColor="text1"/>
                <w:lang w:eastAsia="zh-CN"/>
                <w14:textFill>
                  <w14:solidFill>
                    <w14:schemeClr w14:val="tx1"/>
                  </w14:solidFill>
                </w14:textFill>
              </w:rPr>
              <w:t>。</w:t>
            </w:r>
          </w:p>
          <w:p w14:paraId="0E7733F4">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4</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如中标人存在弄虚作假、供货虚报数量（如5T车配送4T货物的情况等），第一次发现应补足缺量并进行警告处理，第二次发现按少一赔十处理，第三次发现</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14:paraId="67F1C790">
            <w:pPr>
              <w:numPr>
                <w:ilvl w:val="0"/>
                <w:numId w:val="0"/>
              </w:numPr>
              <w:ind w:left="0" w:leftChars="0" w:firstLine="0" w:firstLineChars="0"/>
              <w:contextualSpacing/>
              <w:rPr>
                <w:rFonts w:hint="eastAsia" w:ascii="Times New Roman" w:hAnsi="Times New Roman"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因中标人不能保证工作质量，</w:t>
            </w:r>
            <w:r>
              <w:rPr>
                <w:rFonts w:hint="eastAsia" w:ascii="Times New Roman" w:hAnsi="Times New Roman" w:cs="Times New Roman"/>
                <w:color w:val="000000" w:themeColor="text1"/>
                <w14:textFill>
                  <w14:solidFill>
                    <w14:schemeClr w14:val="tx1"/>
                  </w14:solidFill>
                </w14:textFill>
              </w:rPr>
              <w:t>或出现3次以上（不含3次）抽检不合格的，</w:t>
            </w:r>
            <w:r>
              <w:rPr>
                <w:rFonts w:ascii="Times New Roman" w:hAnsi="Times New Roman" w:cs="Times New Roman"/>
                <w:color w:val="000000" w:themeColor="text1"/>
                <w14:textFill>
                  <w14:solidFill>
                    <w14:schemeClr w14:val="tx1"/>
                  </w14:solidFill>
                </w14:textFill>
              </w:rPr>
              <w:t>或发生重大差错事故的，</w:t>
            </w:r>
            <w:r>
              <w:rPr>
                <w:rFonts w:hint="eastAsia" w:ascii="Times New Roman" w:hAnsi="Times New Roman" w:cs="Times New Roman"/>
                <w:color w:val="000000" w:themeColor="text1"/>
                <w:lang w:val="en-US" w:eastAsia="zh-CN"/>
                <w14:textFill>
                  <w14:solidFill>
                    <w14:schemeClr w14:val="tx1"/>
                  </w14:solidFill>
                </w14:textFill>
              </w:rPr>
              <w:t>招标</w:t>
            </w:r>
            <w:r>
              <w:rPr>
                <w:rFonts w:hint="eastAsia" w:ascii="Times New Roman" w:hAnsi="Times New Roman" w:cs="Times New Roman"/>
                <w:color w:val="000000" w:themeColor="text1"/>
                <w14:textFill>
                  <w14:solidFill>
                    <w14:schemeClr w14:val="tx1"/>
                  </w14:solidFill>
                </w14:textFill>
              </w:rPr>
              <w:t>人</w:t>
            </w:r>
            <w:r>
              <w:rPr>
                <w:rFonts w:ascii="Times New Roman" w:hAnsi="Times New Roman" w:cs="Times New Roman"/>
                <w:color w:val="000000" w:themeColor="text1"/>
                <w14:textFill>
                  <w14:solidFill>
                    <w14:schemeClr w14:val="tx1"/>
                  </w14:solidFill>
                </w14:textFill>
              </w:rPr>
              <w:t>可有权终止协议并罚没中标人缴纳的全部履约保证金，中标人承担全部责任</w:t>
            </w:r>
            <w:r>
              <w:rPr>
                <w:rFonts w:hint="eastAsia" w:ascii="Times New Roman" w:hAnsi="Times New Roman" w:cs="Times New Roman"/>
                <w:color w:val="000000" w:themeColor="text1"/>
                <w:lang w:eastAsia="zh-CN"/>
                <w14:textFill>
                  <w14:solidFill>
                    <w14:schemeClr w14:val="tx1"/>
                  </w14:solidFill>
                </w14:textFill>
              </w:rPr>
              <w:t>。</w:t>
            </w:r>
          </w:p>
          <w:p w14:paraId="5AC611BB">
            <w:pPr>
              <w:numPr>
                <w:ilvl w:val="0"/>
                <w:numId w:val="0"/>
              </w:numPr>
              <w:ind w:left="0" w:leftChars="0" w:firstLine="0" w:firstLineChars="0"/>
              <w:contextualSpacing/>
              <w:rPr>
                <w:rFonts w:hint="default" w:ascii="宋体" w:hAnsi="宋体"/>
                <w:b/>
                <w:color w:val="000000" w:themeColor="text1"/>
                <w:szCs w:val="21"/>
                <w:lang w:val="en-US"/>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6</w:t>
            </w:r>
            <w:r>
              <w:rPr>
                <w:rFonts w:hint="eastAsia" w:ascii="Times New Roman" w:hAnsi="Times New Roman" w:cs="Times New Roman"/>
                <w:color w:val="000000" w:themeColor="text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本次招标为单价招标，在合同期限内，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有权根据实际工程需要确定具体的规格、型号和数量，供应商已充分考虑其间的风险</w:t>
            </w:r>
            <w:r>
              <w:rPr>
                <w:rFonts w:hint="eastAsia" w:ascii="宋体" w:hAnsi="宋体" w:cs="宋体"/>
                <w:color w:val="000000" w:themeColor="text1"/>
                <w:kern w:val="0"/>
                <w:szCs w:val="21"/>
                <w:lang w:eastAsia="zh-CN"/>
                <w14:textFill>
                  <w14:solidFill>
                    <w14:schemeClr w14:val="tx1"/>
                  </w14:solidFill>
                </w14:textFill>
              </w:rPr>
              <w:t>。</w:t>
            </w:r>
          </w:p>
        </w:tc>
      </w:tr>
    </w:tbl>
    <w:p w14:paraId="0F6E60D2">
      <w:pPr>
        <w:pStyle w:val="22"/>
        <w:spacing w:before="0" w:line="360" w:lineRule="auto"/>
        <w:contextualSpacing/>
        <w:outlineLvl w:val="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50" w:name="_Toc144974497"/>
      <w:bookmarkStart w:id="51" w:name="_Toc27986209"/>
      <w:bookmarkStart w:id="52" w:name="_Toc34744546"/>
      <w:bookmarkStart w:id="53" w:name="_Toc152042305"/>
      <w:bookmarkStart w:id="54" w:name="_Toc3304"/>
      <w:bookmarkStart w:id="55" w:name="_Toc152045529"/>
      <w:bookmarkStart w:id="56" w:name="_Toc149206224"/>
      <w:bookmarkStart w:id="57" w:name="_Toc34814176"/>
      <w:r>
        <w:rPr>
          <w:rFonts w:hint="eastAsia" w:ascii="宋体" w:hAnsi="宋体"/>
          <w:color w:val="000000" w:themeColor="text1"/>
          <w14:textFill>
            <w14:solidFill>
              <w14:schemeClr w14:val="tx1"/>
            </w14:solidFill>
          </w14:textFill>
        </w:rPr>
        <w:t>1. 总则</w:t>
      </w:r>
      <w:bookmarkEnd w:id="50"/>
      <w:bookmarkEnd w:id="51"/>
      <w:bookmarkEnd w:id="52"/>
      <w:bookmarkEnd w:id="53"/>
      <w:bookmarkEnd w:id="54"/>
      <w:bookmarkEnd w:id="55"/>
      <w:bookmarkEnd w:id="56"/>
      <w:bookmarkEnd w:id="57"/>
    </w:p>
    <w:p w14:paraId="6C40D58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8" w:name="_Toc152042306"/>
      <w:bookmarkStart w:id="59" w:name="_Toc149206225"/>
      <w:bookmarkStart w:id="60" w:name="_Toc31889"/>
      <w:bookmarkStart w:id="61" w:name="_Toc144974498"/>
      <w:bookmarkStart w:id="62" w:name="_Toc152045530"/>
      <w:bookmarkStart w:id="63" w:name="_Toc149206077"/>
      <w:bookmarkStart w:id="64" w:name="_Toc34814177"/>
      <w:bookmarkStart w:id="65" w:name="_Toc3799"/>
      <w:bookmarkStart w:id="66" w:name="_Toc34744547"/>
      <w:bookmarkStart w:id="67" w:name="_Toc27986210"/>
      <w:r>
        <w:rPr>
          <w:rFonts w:hint="eastAsia" w:ascii="宋体" w:hAnsi="宋体" w:eastAsia="宋体"/>
          <w:color w:val="000000" w:themeColor="text1"/>
          <w14:textFill>
            <w14:solidFill>
              <w14:schemeClr w14:val="tx1"/>
            </w14:solidFill>
          </w14:textFill>
        </w:rPr>
        <w:t>1.1 项目概况</w:t>
      </w:r>
      <w:bookmarkEnd w:id="58"/>
      <w:bookmarkEnd w:id="59"/>
      <w:bookmarkEnd w:id="60"/>
      <w:bookmarkEnd w:id="61"/>
      <w:bookmarkEnd w:id="62"/>
      <w:bookmarkEnd w:id="63"/>
      <w:bookmarkEnd w:id="64"/>
      <w:bookmarkEnd w:id="65"/>
      <w:bookmarkEnd w:id="66"/>
      <w:bookmarkEnd w:id="67"/>
    </w:p>
    <w:p w14:paraId="7742958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1.1.1根据温州</w:t>
      </w:r>
      <w:r>
        <w:rPr>
          <w:rFonts w:hint="eastAsia" w:ascii="宋体" w:hAnsi="宋体"/>
          <w:color w:val="000000" w:themeColor="text1"/>
          <w:lang w:val="en-US" w:eastAsia="zh-CN"/>
          <w14:textFill>
            <w14:solidFill>
              <w14:schemeClr w14:val="tx1"/>
            </w14:solidFill>
          </w14:textFill>
        </w:rPr>
        <w:t>市市政工程建设开发有限公司</w:t>
      </w:r>
      <w:r>
        <w:rPr>
          <w:rFonts w:hint="eastAsia" w:ascii="宋体" w:hAnsi="宋体"/>
          <w:color w:val="000000" w:themeColor="text1"/>
          <w14:textFill>
            <w14:solidFill>
              <w14:schemeClr w14:val="tx1"/>
            </w14:solidFill>
          </w14:textFill>
        </w:rPr>
        <w:t>招标采购的相关规定，本招标项目已具备招标条件，现对</w:t>
      </w:r>
      <w:r>
        <w:rPr>
          <w:rFonts w:hint="eastAsia" w:ascii="宋体" w:hAnsi="宋体"/>
          <w:color w:val="FF0000"/>
        </w:rPr>
        <w:t>本标段</w:t>
      </w:r>
      <w:r>
        <w:rPr>
          <w:rFonts w:hint="eastAsia" w:ascii="宋体" w:hAnsi="宋体" w:cs="宋体"/>
          <w:color w:val="FF0000"/>
          <w:szCs w:val="21"/>
          <w:lang w:eastAsia="zh-CN"/>
        </w:rPr>
        <w:t>商品砼</w:t>
      </w:r>
      <w:r>
        <w:rPr>
          <w:rFonts w:hint="eastAsia" w:ascii="宋体" w:hAnsi="宋体"/>
          <w:color w:val="000000" w:themeColor="text1"/>
          <w14:textFill>
            <w14:solidFill>
              <w14:schemeClr w14:val="tx1"/>
            </w14:solidFill>
          </w14:textFill>
        </w:rPr>
        <w:t>进行招标。</w:t>
      </w:r>
    </w:p>
    <w:p w14:paraId="15B7F6C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 本招标项目招标人：见投标人须知前附表。</w:t>
      </w:r>
    </w:p>
    <w:p w14:paraId="15F2ED0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1.1.3 本标段招标代理机构：见投标人须知前附表。</w:t>
      </w:r>
    </w:p>
    <w:p w14:paraId="451FDFD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 本招标项目名称：见投标人须知前附表。</w:t>
      </w:r>
    </w:p>
    <w:p w14:paraId="3B1B513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 本标段建设地点：见投标人须知前附表。</w:t>
      </w:r>
    </w:p>
    <w:p w14:paraId="44846009">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68" w:name="_Toc149206078"/>
      <w:bookmarkStart w:id="69" w:name="_Toc34744548"/>
      <w:bookmarkStart w:id="70" w:name="_Toc152042307"/>
      <w:bookmarkStart w:id="71" w:name="_Toc27986211"/>
      <w:bookmarkStart w:id="72" w:name="_Toc23744"/>
      <w:bookmarkStart w:id="73" w:name="_Toc152045531"/>
      <w:bookmarkStart w:id="74" w:name="_Toc34814178"/>
      <w:bookmarkStart w:id="75" w:name="_Toc27062"/>
      <w:bookmarkStart w:id="76" w:name="_Toc144974499"/>
      <w:bookmarkStart w:id="77" w:name="_Toc149206226"/>
      <w:r>
        <w:rPr>
          <w:rFonts w:hint="eastAsia" w:ascii="宋体" w:hAnsi="宋体" w:eastAsia="宋体"/>
          <w:color w:val="000000" w:themeColor="text1"/>
          <w14:textFill>
            <w14:solidFill>
              <w14:schemeClr w14:val="tx1"/>
            </w14:solidFill>
          </w14:textFill>
        </w:rPr>
        <w:t>1.2 资金来源情况</w:t>
      </w:r>
      <w:bookmarkEnd w:id="68"/>
      <w:bookmarkEnd w:id="69"/>
      <w:bookmarkEnd w:id="70"/>
      <w:bookmarkEnd w:id="71"/>
      <w:bookmarkEnd w:id="72"/>
      <w:bookmarkEnd w:id="73"/>
      <w:bookmarkEnd w:id="74"/>
      <w:bookmarkEnd w:id="75"/>
      <w:bookmarkEnd w:id="76"/>
      <w:bookmarkEnd w:id="77"/>
    </w:p>
    <w:p w14:paraId="6C0C756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 本招标项目的资金来源：见投标人须知前附表。</w:t>
      </w:r>
    </w:p>
    <w:p w14:paraId="4B13161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78" w:name="_Toc12059"/>
      <w:bookmarkStart w:id="79" w:name="_Toc24554"/>
      <w:bookmarkStart w:id="80" w:name="_Toc144974500"/>
      <w:bookmarkStart w:id="81" w:name="_Toc149206079"/>
      <w:bookmarkStart w:id="82" w:name="_Toc149206227"/>
      <w:bookmarkStart w:id="83" w:name="_Toc27986212"/>
      <w:bookmarkStart w:id="84" w:name="_Toc152042308"/>
      <w:bookmarkStart w:id="85" w:name="_Toc152045532"/>
      <w:bookmarkStart w:id="86" w:name="_Toc34814179"/>
      <w:bookmarkStart w:id="87" w:name="_Toc34744549"/>
      <w:r>
        <w:rPr>
          <w:rFonts w:hint="eastAsia" w:ascii="宋体" w:hAnsi="宋体" w:eastAsia="宋体"/>
          <w:color w:val="000000" w:themeColor="text1"/>
          <w14:textFill>
            <w14:solidFill>
              <w14:schemeClr w14:val="tx1"/>
            </w14:solidFill>
          </w14:textFill>
        </w:rPr>
        <w:t>1.3 招标范围、计划工期和质量要求</w:t>
      </w:r>
      <w:bookmarkEnd w:id="78"/>
      <w:bookmarkEnd w:id="79"/>
      <w:bookmarkEnd w:id="80"/>
      <w:bookmarkEnd w:id="81"/>
      <w:bookmarkEnd w:id="82"/>
      <w:bookmarkEnd w:id="83"/>
      <w:bookmarkEnd w:id="84"/>
      <w:bookmarkEnd w:id="85"/>
      <w:bookmarkEnd w:id="86"/>
      <w:bookmarkEnd w:id="87"/>
    </w:p>
    <w:p w14:paraId="7290E27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1.3.1 本次招标范围：见投标人须知前附表。</w:t>
      </w:r>
    </w:p>
    <w:p w14:paraId="79E3873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 本标段的计划工期：见投标人须知前附表。</w:t>
      </w:r>
    </w:p>
    <w:p w14:paraId="2952585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 本标段的质量要求：见投标人须知前附表。</w:t>
      </w:r>
    </w:p>
    <w:p w14:paraId="73AA88E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88" w:name="_Toc27986213"/>
      <w:bookmarkStart w:id="89" w:name="_Toc34814180"/>
      <w:bookmarkStart w:id="90" w:name="_Toc149206080"/>
      <w:bookmarkStart w:id="91" w:name="_Toc13535"/>
      <w:bookmarkStart w:id="92" w:name="_Toc28205"/>
      <w:bookmarkStart w:id="93" w:name="_Toc152045533"/>
      <w:bookmarkStart w:id="94" w:name="_Toc149206228"/>
      <w:bookmarkStart w:id="95" w:name="_Toc152042309"/>
      <w:bookmarkStart w:id="96" w:name="_Toc144974501"/>
      <w:bookmarkStart w:id="97" w:name="_Toc34744550"/>
      <w:r>
        <w:rPr>
          <w:rFonts w:hint="eastAsia" w:ascii="宋体" w:hAnsi="宋体" w:eastAsia="宋体"/>
          <w:color w:val="000000" w:themeColor="text1"/>
          <w14:textFill>
            <w14:solidFill>
              <w14:schemeClr w14:val="tx1"/>
            </w14:solidFill>
          </w14:textFill>
        </w:rPr>
        <w:t>1.4 投标人资格要求（适用于已进行资格预审的）</w:t>
      </w:r>
      <w:bookmarkEnd w:id="88"/>
      <w:bookmarkEnd w:id="89"/>
      <w:bookmarkEnd w:id="90"/>
      <w:bookmarkEnd w:id="91"/>
      <w:bookmarkEnd w:id="92"/>
      <w:bookmarkEnd w:id="93"/>
      <w:bookmarkEnd w:id="94"/>
      <w:bookmarkEnd w:id="95"/>
      <w:bookmarkEnd w:id="96"/>
      <w:bookmarkEnd w:id="97"/>
    </w:p>
    <w:p w14:paraId="5AD54C8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投标人应是收到招标人发出招标公告的单位。</w:t>
      </w:r>
    </w:p>
    <w:p w14:paraId="3F4ED293">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98" w:name="_Toc27755"/>
      <w:bookmarkStart w:id="99" w:name="_Toc34744551"/>
      <w:bookmarkStart w:id="100" w:name="_Toc34814181"/>
      <w:bookmarkStart w:id="101" w:name="_Toc149206229"/>
      <w:bookmarkStart w:id="102" w:name="_Toc152042310"/>
      <w:bookmarkStart w:id="103" w:name="_Toc144974502"/>
      <w:bookmarkStart w:id="104" w:name="_Toc149206081"/>
      <w:bookmarkStart w:id="105" w:name="_Toc27986214"/>
      <w:bookmarkStart w:id="106" w:name="_Toc152045534"/>
      <w:bookmarkStart w:id="107" w:name="_Toc8401"/>
      <w:r>
        <w:rPr>
          <w:rFonts w:hint="eastAsia" w:ascii="宋体" w:hAnsi="宋体" w:eastAsia="宋体"/>
          <w:color w:val="000000" w:themeColor="text1"/>
          <w14:textFill>
            <w14:solidFill>
              <w14:schemeClr w14:val="tx1"/>
            </w14:solidFill>
          </w14:textFill>
        </w:rPr>
        <w:t>1.4 投标人资格要求（适用于未进行资格预审的）</w:t>
      </w:r>
      <w:bookmarkEnd w:id="98"/>
      <w:bookmarkEnd w:id="99"/>
      <w:bookmarkEnd w:id="100"/>
      <w:bookmarkEnd w:id="101"/>
      <w:bookmarkEnd w:id="102"/>
      <w:bookmarkEnd w:id="103"/>
      <w:bookmarkEnd w:id="104"/>
      <w:bookmarkEnd w:id="105"/>
      <w:bookmarkEnd w:id="106"/>
      <w:bookmarkEnd w:id="107"/>
    </w:p>
    <w:p w14:paraId="370720B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1.4.1投标人应具备承担本标段施工的资质条件、能力和信誉。</w:t>
      </w:r>
    </w:p>
    <w:p w14:paraId="0BB628B4">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（1）资质条件：见投标人须知前附表；</w:t>
      </w:r>
    </w:p>
    <w:p w14:paraId="5C705D24">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（2）财务要求：见投标人须知前附表；</w:t>
      </w:r>
    </w:p>
    <w:p w14:paraId="1C808E72">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（3）业绩要求：见投标人须知前附表；</w:t>
      </w:r>
    </w:p>
    <w:p w14:paraId="23F48C7F">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（4）信誉要求：见投标人须知前附表;</w:t>
      </w:r>
    </w:p>
    <w:p w14:paraId="1AD5EB10">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（5）项目负责人资格：见投标人须知前附表；</w:t>
      </w:r>
    </w:p>
    <w:p w14:paraId="0E6390DA">
      <w:pPr>
        <w:spacing w:line="360" w:lineRule="auto"/>
        <w:ind w:firstLine="735" w:firstLine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（6）其他要求：见投标人须知前附表。</w:t>
      </w:r>
    </w:p>
    <w:p w14:paraId="1A9A6BE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1.4.2 投标人须知前附表规定接受联合体投标的，除应符合本章第1.4.1项和投标人须知前附表的要求外，还应遵守以下规定： </w:t>
      </w:r>
    </w:p>
    <w:p w14:paraId="0632E612">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（1）联合体各方应按招标文件提供的格式签订联合体协议书，明确联合体牵头人和各方权利义务</w:t>
      </w:r>
      <w:r>
        <w:rPr>
          <w:rFonts w:hint="eastAsia" w:cs="宋体"/>
          <w:color w:val="000000" w:themeColor="text1"/>
          <w14:textFill>
            <w14:solidFill>
              <w14:schemeClr w14:val="tx1"/>
            </w14:solidFill>
          </w14:textFill>
        </w:rPr>
        <w:t>，并承诺就中标项目向招标人承担连带责任</w:t>
      </w:r>
      <w:r>
        <w:rPr>
          <w:rFonts w:hint="eastAsia" w:ascii="宋体" w:hAnsi="宋体"/>
          <w:color w:val="000000" w:themeColor="text1"/>
          <w14:textFill>
            <w14:solidFill>
              <w14:schemeClr w14:val="tx1"/>
            </w14:solidFill>
          </w14:textFill>
        </w:rPr>
        <w:t>；</w:t>
      </w:r>
    </w:p>
    <w:p w14:paraId="204C4A0D">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联合体协议约定同一专业分工由两个及以上单位共同承担的，按照就低不就高的原则确定联合体的资质；不同专业分工由不同单位分别承担的，按照联合体协议中约定的内部分工分别认定联合体的资质类别和等级</w:t>
      </w:r>
      <w:r>
        <w:rPr>
          <w:rFonts w:hint="eastAsia" w:ascii="宋体" w:hAnsi="宋体"/>
          <w:color w:val="000000" w:themeColor="text1"/>
          <w14:textFill>
            <w14:solidFill>
              <w14:schemeClr w14:val="tx1"/>
            </w14:solidFill>
          </w14:textFill>
        </w:rPr>
        <w:t xml:space="preserve">； </w:t>
      </w:r>
    </w:p>
    <w:p w14:paraId="1DB59493">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hint="eastAsia" w:cs="宋体"/>
          <w:color w:val="000000" w:themeColor="text1"/>
          <w14:textFill>
            <w14:solidFill>
              <w14:schemeClr w14:val="tx1"/>
            </w14:solidFill>
          </w14:textFill>
        </w:rPr>
        <w:t>联合体各方不得再以自己名义单独或参加其他联合体在本招标项目中投标，否则各相关投标均无效</w:t>
      </w:r>
      <w:r>
        <w:rPr>
          <w:rFonts w:hint="eastAsia" w:ascii="宋体" w:hAnsi="宋体"/>
          <w:color w:val="000000" w:themeColor="text1"/>
          <w14:textFill>
            <w14:solidFill>
              <w14:schemeClr w14:val="tx1"/>
            </w14:solidFill>
          </w14:textFill>
        </w:rPr>
        <w:t>。</w:t>
      </w:r>
    </w:p>
    <w:p w14:paraId="6FA08CD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1.4.3 投标人不得存在下列情形之一：</w:t>
      </w:r>
    </w:p>
    <w:p w14:paraId="0B8D1C9F">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（1）为招标人不具有独立法人资格的附属机构（单位）； </w:t>
      </w:r>
    </w:p>
    <w:p w14:paraId="5DFB541C">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（2）为本标段前期准备提供设计或咨询服务的； </w:t>
      </w:r>
    </w:p>
    <w:p w14:paraId="0D398A40">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（3）与本招标项目的其他投标人为同一个单位负责人；</w:t>
      </w:r>
    </w:p>
    <w:p w14:paraId="2D403AD1">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（4）与本招标项目的其他投标人存在控股、管理关系；</w:t>
      </w:r>
    </w:p>
    <w:p w14:paraId="753C0189">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（5）为本标段的监理人；</w:t>
      </w:r>
    </w:p>
    <w:p w14:paraId="7CBE1E50">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（6）为本标段的代建人； </w:t>
      </w:r>
    </w:p>
    <w:p w14:paraId="64B3DCB6">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（7）为本标段提供招标代理服务的； </w:t>
      </w:r>
    </w:p>
    <w:p w14:paraId="12B04989">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（8）与本标段的监理人或代建人或招标代理机构同为一个法定代表人的；</w:t>
      </w:r>
    </w:p>
    <w:p w14:paraId="0BD5EC60">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（9）与本标段的监理人或代建人或招标代理机构相互控股或参股的；</w:t>
      </w:r>
    </w:p>
    <w:p w14:paraId="403136A6">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（10）与本标段的监理人或代建人或招标代理机构相互任职或工作的；</w:t>
      </w:r>
    </w:p>
    <w:p w14:paraId="440CEC44">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（11）被责令停业的； </w:t>
      </w:r>
    </w:p>
    <w:p w14:paraId="48ACA785">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（12）被暂停或取消投标资格的； </w:t>
      </w:r>
    </w:p>
    <w:p w14:paraId="36310AF2">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（13）财产被接管或冻结的（进入清算程序，或被宣告破产，或其他丧失履约能力的情形）；</w:t>
      </w:r>
    </w:p>
    <w:p w14:paraId="14A9D859">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（14）在最近三年内有骗取中标或严重违约或重大工程质量问题的（“近三年”指投标截止之日上溯三年，以相关行业主管部门的行政处罚决定或司法机关出具的有关法律文书为准）；</w:t>
      </w:r>
    </w:p>
    <w:p w14:paraId="01273EFA">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（15）被工商行政管理机关在全国企业信用信息公示系统中列入严重违法失信企业名单；</w:t>
      </w:r>
    </w:p>
    <w:p w14:paraId="53CE4961">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（16）被各级人民法院（http://z ×gk.court.gov.cn/shi ×in/）列入失信被执行人（法人或其他组织）名单（已执行完结的除外，以提供法院结案的有关法律文书为准）；</w:t>
      </w:r>
    </w:p>
    <w:p w14:paraId="302EF154">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 在近三年内投标人或其法定代表人、拟派的项目负责人有行贿犯罪行为的（“近三年”指投标截止之日上溯三年，以中国裁判文书网查询信息为准，查询信息与法院出具的文书不一致的，以法院出具的文书为准）；</w:t>
      </w:r>
    </w:p>
    <w:p w14:paraId="3025AFA5">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（18）法律法规或投标人须知前附表规定的其他情形。</w:t>
      </w:r>
    </w:p>
    <w:p w14:paraId="465189FE">
      <w:pPr>
        <w:spacing w:line="360" w:lineRule="auto"/>
        <w:ind w:left="735" w:leftChars="35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备注：投标人须知第1.4.3项中第（11）—（17）目规定的情形，仅指“投标人”，不包括投标人分公司、办事处及其他分支机构。</w:t>
      </w:r>
    </w:p>
    <w:p w14:paraId="3E65BFF7">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08" w:name="_Toc149206082"/>
      <w:bookmarkStart w:id="109" w:name="_Toc19247"/>
      <w:bookmarkStart w:id="110" w:name="_Toc17041"/>
      <w:bookmarkStart w:id="111" w:name="_Toc27986215"/>
      <w:bookmarkStart w:id="112" w:name="_Toc144974503"/>
      <w:bookmarkStart w:id="113" w:name="_Toc34814182"/>
      <w:bookmarkStart w:id="114" w:name="_Toc149206230"/>
      <w:bookmarkStart w:id="115" w:name="_Toc152045535"/>
      <w:bookmarkStart w:id="116" w:name="_Toc152042311"/>
      <w:bookmarkStart w:id="117" w:name="_Toc34744552"/>
      <w:r>
        <w:rPr>
          <w:rFonts w:hint="eastAsia" w:ascii="宋体" w:hAnsi="宋体" w:eastAsia="宋体"/>
          <w:color w:val="000000" w:themeColor="text1"/>
          <w14:textFill>
            <w14:solidFill>
              <w14:schemeClr w14:val="tx1"/>
            </w14:solidFill>
          </w14:textFill>
        </w:rPr>
        <w:t>1.5 费用承担</w:t>
      </w:r>
      <w:bookmarkEnd w:id="108"/>
      <w:bookmarkEnd w:id="109"/>
      <w:bookmarkEnd w:id="110"/>
      <w:bookmarkEnd w:id="111"/>
      <w:bookmarkEnd w:id="112"/>
      <w:bookmarkEnd w:id="113"/>
      <w:bookmarkEnd w:id="114"/>
      <w:bookmarkEnd w:id="115"/>
      <w:bookmarkEnd w:id="116"/>
      <w:bookmarkEnd w:id="117"/>
    </w:p>
    <w:p w14:paraId="35A0A68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投标人准备和参加投标活动发生的费用自理。</w:t>
      </w:r>
    </w:p>
    <w:p w14:paraId="0CC16D59">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18" w:name="_Toc152042312"/>
      <w:bookmarkStart w:id="119" w:name="_Toc34814183"/>
      <w:bookmarkStart w:id="120" w:name="_Toc31353"/>
      <w:bookmarkStart w:id="121" w:name="_Toc27986216"/>
      <w:bookmarkStart w:id="122" w:name="_Toc16085"/>
      <w:bookmarkStart w:id="123" w:name="_Toc34744553"/>
      <w:bookmarkStart w:id="124" w:name="_Toc144974504"/>
      <w:bookmarkStart w:id="125" w:name="_Toc152045536"/>
      <w:bookmarkStart w:id="126" w:name="_Toc149206231"/>
      <w:bookmarkStart w:id="127" w:name="_Toc149206083"/>
      <w:r>
        <w:rPr>
          <w:rFonts w:hint="eastAsia" w:ascii="宋体" w:hAnsi="宋体" w:eastAsia="宋体"/>
          <w:color w:val="000000" w:themeColor="text1"/>
          <w14:textFill>
            <w14:solidFill>
              <w14:schemeClr w14:val="tx1"/>
            </w14:solidFill>
          </w14:textFill>
        </w:rPr>
        <w:t>1.6 保密</w:t>
      </w:r>
      <w:bookmarkEnd w:id="118"/>
      <w:bookmarkEnd w:id="119"/>
      <w:bookmarkEnd w:id="120"/>
      <w:bookmarkEnd w:id="121"/>
      <w:bookmarkEnd w:id="122"/>
      <w:bookmarkEnd w:id="123"/>
      <w:bookmarkEnd w:id="124"/>
      <w:bookmarkEnd w:id="125"/>
      <w:bookmarkEnd w:id="126"/>
      <w:bookmarkEnd w:id="127"/>
    </w:p>
    <w:p w14:paraId="03FBF2B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参与招标投标活动的各方应对招标文件和投标文件中的商业和技术等秘密保密，违者应对由此造成的后果承担法律责任。 </w:t>
      </w:r>
    </w:p>
    <w:p w14:paraId="2780219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28" w:name="_Toc144974505"/>
      <w:bookmarkStart w:id="129" w:name="_Toc152042313"/>
      <w:bookmarkStart w:id="130" w:name="_Toc4992"/>
      <w:bookmarkStart w:id="131" w:name="_Toc149206084"/>
      <w:bookmarkStart w:id="132" w:name="_Toc149206232"/>
      <w:bookmarkStart w:id="133" w:name="_Toc34814184"/>
      <w:bookmarkStart w:id="134" w:name="_Toc27986217"/>
      <w:bookmarkStart w:id="135" w:name="_Toc34744554"/>
      <w:bookmarkStart w:id="136" w:name="_Toc23733"/>
      <w:bookmarkStart w:id="137" w:name="_Toc152045537"/>
      <w:r>
        <w:rPr>
          <w:rFonts w:hint="eastAsia" w:ascii="宋体" w:hAnsi="宋体" w:eastAsia="宋体"/>
          <w:color w:val="000000" w:themeColor="text1"/>
          <w14:textFill>
            <w14:solidFill>
              <w14:schemeClr w14:val="tx1"/>
            </w14:solidFill>
          </w14:textFill>
        </w:rPr>
        <w:t>1.7 语言</w:t>
      </w:r>
      <w:bookmarkEnd w:id="128"/>
      <w:r>
        <w:rPr>
          <w:rFonts w:hint="eastAsia" w:ascii="宋体" w:hAnsi="宋体" w:eastAsia="宋体"/>
          <w:color w:val="000000" w:themeColor="text1"/>
          <w14:textFill>
            <w14:solidFill>
              <w14:schemeClr w14:val="tx1"/>
            </w14:solidFill>
          </w14:textFill>
        </w:rPr>
        <w:t>文字</w:t>
      </w:r>
      <w:bookmarkEnd w:id="129"/>
      <w:bookmarkEnd w:id="130"/>
      <w:bookmarkEnd w:id="131"/>
      <w:bookmarkEnd w:id="132"/>
      <w:bookmarkEnd w:id="133"/>
      <w:bookmarkEnd w:id="134"/>
      <w:bookmarkEnd w:id="135"/>
      <w:bookmarkEnd w:id="136"/>
      <w:bookmarkEnd w:id="137"/>
    </w:p>
    <w:p w14:paraId="7B875BE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除专用术语外，与招标投标有关的语言均使用中文。必要时专用术语应附有中文注释。</w:t>
      </w:r>
    </w:p>
    <w:p w14:paraId="76302FC1">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38" w:name="_Toc149206085"/>
      <w:bookmarkStart w:id="139" w:name="_Toc149206233"/>
      <w:bookmarkStart w:id="140" w:name="_Toc27986218"/>
      <w:bookmarkStart w:id="141" w:name="_Toc13271"/>
      <w:bookmarkStart w:id="142" w:name="_Toc10330"/>
      <w:bookmarkStart w:id="143" w:name="_Toc34744555"/>
      <w:bookmarkStart w:id="144" w:name="_Toc34814185"/>
      <w:bookmarkStart w:id="145" w:name="_Toc144974506"/>
      <w:bookmarkStart w:id="146" w:name="_Toc152042314"/>
      <w:bookmarkStart w:id="147" w:name="_Toc152045538"/>
      <w:r>
        <w:rPr>
          <w:rFonts w:hint="eastAsia" w:ascii="宋体" w:hAnsi="宋体" w:eastAsia="宋体"/>
          <w:color w:val="000000" w:themeColor="text1"/>
          <w14:textFill>
            <w14:solidFill>
              <w14:schemeClr w14:val="tx1"/>
            </w14:solidFill>
          </w14:textFill>
        </w:rPr>
        <w:t>1.8 计量单位</w:t>
      </w:r>
      <w:bookmarkEnd w:id="138"/>
      <w:bookmarkEnd w:id="139"/>
      <w:bookmarkEnd w:id="140"/>
      <w:bookmarkEnd w:id="141"/>
      <w:bookmarkEnd w:id="142"/>
      <w:bookmarkEnd w:id="143"/>
      <w:bookmarkEnd w:id="144"/>
      <w:bookmarkEnd w:id="145"/>
      <w:bookmarkEnd w:id="146"/>
      <w:bookmarkEnd w:id="147"/>
    </w:p>
    <w:p w14:paraId="3FC7C93A">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所有计量均采用中华人民共和国法定计量单位。</w:t>
      </w:r>
    </w:p>
    <w:p w14:paraId="32A3327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48" w:name="_Toc152042315"/>
      <w:bookmarkStart w:id="149" w:name="_Toc3117"/>
      <w:bookmarkStart w:id="150" w:name="_Toc34814186"/>
      <w:bookmarkStart w:id="151" w:name="_Toc152045539"/>
      <w:bookmarkStart w:id="152" w:name="_Toc34744556"/>
      <w:bookmarkStart w:id="153" w:name="_Toc8670"/>
      <w:bookmarkStart w:id="154" w:name="_Toc149206086"/>
      <w:bookmarkStart w:id="155" w:name="_Toc27986219"/>
      <w:bookmarkStart w:id="156" w:name="_Toc144974507"/>
      <w:bookmarkStart w:id="157" w:name="_Toc149206234"/>
      <w:r>
        <w:rPr>
          <w:rFonts w:hint="eastAsia" w:ascii="宋体" w:hAnsi="宋体" w:eastAsia="宋体"/>
          <w:color w:val="000000" w:themeColor="text1"/>
          <w14:textFill>
            <w14:solidFill>
              <w14:schemeClr w14:val="tx1"/>
            </w14:solidFill>
          </w14:textFill>
        </w:rPr>
        <w:t>1.9 踏勘现场</w:t>
      </w:r>
      <w:bookmarkEnd w:id="148"/>
      <w:bookmarkEnd w:id="149"/>
      <w:bookmarkEnd w:id="150"/>
      <w:bookmarkEnd w:id="151"/>
      <w:bookmarkEnd w:id="152"/>
      <w:bookmarkEnd w:id="153"/>
      <w:bookmarkEnd w:id="154"/>
      <w:bookmarkEnd w:id="155"/>
      <w:bookmarkEnd w:id="156"/>
      <w:bookmarkEnd w:id="157"/>
    </w:p>
    <w:p w14:paraId="144912D7">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1.9.1 投标人须知前附表规定组织踏勘现场的，招标人按投标人须知前附表规定的时间、地点组织投标人踏勘项目现场。 </w:t>
      </w:r>
    </w:p>
    <w:p w14:paraId="2A63FBE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 投标人踏勘现场发生的费用自理。</w:t>
      </w:r>
    </w:p>
    <w:p w14:paraId="30DEE40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 除招标人的原因外，投标人自行负责在踏勘现场中所发生的人员伤亡和财产损失。</w:t>
      </w:r>
    </w:p>
    <w:p w14:paraId="5202A0E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0B56824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58" w:name="_Toc27986220"/>
      <w:bookmarkStart w:id="159" w:name="_Toc30388"/>
      <w:bookmarkStart w:id="160" w:name="_Toc34744557"/>
      <w:bookmarkStart w:id="161" w:name="_Toc152042316"/>
      <w:bookmarkStart w:id="162" w:name="_Toc10429"/>
      <w:bookmarkStart w:id="163" w:name="_Toc144974508"/>
      <w:bookmarkStart w:id="164" w:name="_Toc152045540"/>
      <w:bookmarkStart w:id="165" w:name="_Toc149206235"/>
      <w:bookmarkStart w:id="166" w:name="_Toc34814187"/>
      <w:bookmarkStart w:id="167" w:name="_Toc149206087"/>
      <w:r>
        <w:rPr>
          <w:rFonts w:hint="eastAsia" w:ascii="宋体" w:hAnsi="宋体" w:eastAsia="宋体"/>
          <w:color w:val="000000" w:themeColor="text1"/>
          <w14:textFill>
            <w14:solidFill>
              <w14:schemeClr w14:val="tx1"/>
            </w14:solidFill>
          </w14:textFill>
        </w:rPr>
        <w:t>1.10 投标预备会</w:t>
      </w:r>
      <w:bookmarkEnd w:id="158"/>
      <w:bookmarkEnd w:id="159"/>
      <w:bookmarkEnd w:id="160"/>
      <w:bookmarkEnd w:id="161"/>
      <w:bookmarkEnd w:id="162"/>
      <w:bookmarkEnd w:id="163"/>
      <w:bookmarkEnd w:id="164"/>
      <w:bookmarkEnd w:id="165"/>
      <w:bookmarkEnd w:id="166"/>
      <w:bookmarkEnd w:id="167"/>
    </w:p>
    <w:p w14:paraId="52C3874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1.10.1 投标人须知前附表规定召开投标预备会的，招标人按投标人须知前附表规定的时间和地点召开投标预备会，澄清投标人提出的问题。</w:t>
      </w:r>
    </w:p>
    <w:p w14:paraId="6CC1147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 投标人应在投标人须知前附表规定的时间前，以书面形式将提出的问题送达招标人，以便招标人在会议期间澄清。</w:t>
      </w:r>
    </w:p>
    <w:p w14:paraId="7E5DB1C2">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1.10.3 投标预备会后，招标人在投标人须知前附表规定的时间内，将对投标人所提问题的澄清，以书面方式通知所有购买招标文件的投标人。该澄清内容为招标文件的组成部分。</w:t>
      </w:r>
    </w:p>
    <w:p w14:paraId="66BB370C">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68" w:name="_Toc34744558"/>
      <w:bookmarkStart w:id="169" w:name="_Toc152045541"/>
      <w:bookmarkStart w:id="170" w:name="_Toc149206236"/>
      <w:bookmarkStart w:id="171" w:name="_Toc34814188"/>
      <w:bookmarkStart w:id="172" w:name="_Toc27986221"/>
      <w:bookmarkStart w:id="173" w:name="_Toc28642"/>
      <w:bookmarkStart w:id="174" w:name="_Toc149206088"/>
      <w:bookmarkStart w:id="175" w:name="_Toc11616"/>
      <w:bookmarkStart w:id="176" w:name="_Toc152042317"/>
      <w:bookmarkStart w:id="177" w:name="_Toc144974509"/>
      <w:r>
        <w:rPr>
          <w:rFonts w:hint="eastAsia" w:ascii="宋体" w:hAnsi="宋体" w:eastAsia="宋体"/>
          <w:color w:val="000000" w:themeColor="text1"/>
          <w14:textFill>
            <w14:solidFill>
              <w14:schemeClr w14:val="tx1"/>
            </w14:solidFill>
          </w14:textFill>
        </w:rPr>
        <w:t>1.11 分包</w:t>
      </w:r>
      <w:bookmarkEnd w:id="168"/>
      <w:bookmarkEnd w:id="169"/>
      <w:bookmarkEnd w:id="170"/>
      <w:bookmarkEnd w:id="171"/>
      <w:bookmarkEnd w:id="172"/>
      <w:bookmarkEnd w:id="173"/>
      <w:bookmarkEnd w:id="174"/>
      <w:bookmarkEnd w:id="175"/>
      <w:bookmarkEnd w:id="176"/>
      <w:bookmarkEnd w:id="177"/>
    </w:p>
    <w:p w14:paraId="3467B9E4">
      <w:pPr>
        <w:spacing w:line="360" w:lineRule="auto"/>
        <w:ind w:firstLine="567" w:firstLineChars="27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投标人拟在中标后将中标项目的部分非主体、非关键性工作进行分包的，应符合投标人须知前附表规定的分包内容、分包金额和接受分包的第三人资质要求等限制性条件。</w:t>
      </w:r>
    </w:p>
    <w:p w14:paraId="72163409">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78" w:name="_Toc149206237"/>
      <w:bookmarkStart w:id="179" w:name="_Toc27986222"/>
      <w:bookmarkStart w:id="180" w:name="_Toc24567"/>
      <w:bookmarkStart w:id="181" w:name="_Toc34814189"/>
      <w:bookmarkStart w:id="182" w:name="_Toc14639"/>
      <w:bookmarkStart w:id="183" w:name="_Toc149206089"/>
      <w:bookmarkStart w:id="184" w:name="_Toc34744559"/>
      <w:r>
        <w:rPr>
          <w:rFonts w:hint="eastAsia" w:ascii="宋体" w:hAnsi="宋体" w:eastAsia="宋体"/>
          <w:color w:val="000000" w:themeColor="text1"/>
          <w14:textFill>
            <w14:solidFill>
              <w14:schemeClr w14:val="tx1"/>
            </w14:solidFill>
          </w14:textFill>
        </w:rPr>
        <w:t>1.12 偏离</w:t>
      </w:r>
      <w:bookmarkEnd w:id="178"/>
      <w:bookmarkEnd w:id="179"/>
      <w:bookmarkEnd w:id="180"/>
      <w:bookmarkEnd w:id="181"/>
      <w:bookmarkEnd w:id="182"/>
      <w:bookmarkEnd w:id="183"/>
      <w:bookmarkEnd w:id="184"/>
    </w:p>
    <w:p w14:paraId="6BEF6673">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投标人须知前附表允许投标文件偏离招标文件某些要求的，偏离应当符合招标文件规定的偏离范围和幅度。</w:t>
      </w:r>
    </w:p>
    <w:p w14:paraId="79524460">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185" w:name="_Toc27986223"/>
      <w:bookmarkStart w:id="186" w:name="_Toc34744560"/>
      <w:bookmarkStart w:id="187" w:name="_Toc3720"/>
      <w:bookmarkStart w:id="188" w:name="_Toc29904"/>
      <w:bookmarkStart w:id="189" w:name="_Toc144974510"/>
      <w:bookmarkStart w:id="190" w:name="_Toc152045542"/>
      <w:bookmarkStart w:id="191" w:name="_Toc152042318"/>
      <w:bookmarkStart w:id="192" w:name="_Toc149206238"/>
      <w:bookmarkStart w:id="193" w:name="_Toc34814190"/>
      <w:r>
        <w:rPr>
          <w:rFonts w:hint="eastAsia" w:ascii="宋体" w:hAnsi="宋体"/>
          <w:color w:val="000000" w:themeColor="text1"/>
          <w14:textFill>
            <w14:solidFill>
              <w14:schemeClr w14:val="tx1"/>
            </w14:solidFill>
          </w14:textFill>
        </w:rPr>
        <w:t>2. 招标文件</w:t>
      </w:r>
      <w:bookmarkEnd w:id="185"/>
      <w:bookmarkEnd w:id="186"/>
      <w:bookmarkEnd w:id="187"/>
      <w:bookmarkEnd w:id="188"/>
      <w:bookmarkEnd w:id="189"/>
      <w:bookmarkEnd w:id="190"/>
      <w:bookmarkEnd w:id="191"/>
      <w:bookmarkEnd w:id="192"/>
      <w:bookmarkEnd w:id="193"/>
    </w:p>
    <w:p w14:paraId="7E32456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194" w:name="_Toc24363"/>
      <w:bookmarkStart w:id="195" w:name="_Toc27986224"/>
      <w:bookmarkStart w:id="196" w:name="_Toc144974511"/>
      <w:bookmarkStart w:id="197" w:name="_Toc34814191"/>
      <w:bookmarkStart w:id="198" w:name="_Toc152045543"/>
      <w:bookmarkStart w:id="199" w:name="_Toc4700"/>
      <w:bookmarkStart w:id="200" w:name="_Toc149206239"/>
      <w:bookmarkStart w:id="201" w:name="_Toc152042319"/>
      <w:bookmarkStart w:id="202" w:name="_Toc149206091"/>
      <w:bookmarkStart w:id="203" w:name="_Toc34744561"/>
      <w:r>
        <w:rPr>
          <w:rFonts w:hint="eastAsia" w:ascii="宋体" w:hAnsi="宋体" w:eastAsia="宋体"/>
          <w:color w:val="000000" w:themeColor="text1"/>
          <w14:textFill>
            <w14:solidFill>
              <w14:schemeClr w14:val="tx1"/>
            </w14:solidFill>
          </w14:textFill>
        </w:rPr>
        <w:t>2.1 招标文件的组成</w:t>
      </w:r>
      <w:bookmarkEnd w:id="194"/>
      <w:bookmarkEnd w:id="195"/>
      <w:bookmarkEnd w:id="196"/>
      <w:bookmarkEnd w:id="197"/>
      <w:bookmarkEnd w:id="198"/>
      <w:bookmarkEnd w:id="199"/>
      <w:bookmarkEnd w:id="200"/>
      <w:bookmarkEnd w:id="201"/>
      <w:bookmarkEnd w:id="202"/>
      <w:bookmarkEnd w:id="203"/>
    </w:p>
    <w:p w14:paraId="21ECBDAD">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本招标文件包括：</w:t>
      </w:r>
    </w:p>
    <w:p w14:paraId="247DBAAE">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（1）招标公告；</w:t>
      </w:r>
    </w:p>
    <w:p w14:paraId="599E1466">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（2）投标人须知；</w:t>
      </w:r>
    </w:p>
    <w:p w14:paraId="125AF2D1">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（3）评标办法；</w:t>
      </w:r>
    </w:p>
    <w:p w14:paraId="14926E80">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（4）合同条款及格式；</w:t>
      </w:r>
    </w:p>
    <w:p w14:paraId="304B51EF">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（5）招标工程量清单； </w:t>
      </w:r>
    </w:p>
    <w:p w14:paraId="6DB1623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（6）图纸； </w:t>
      </w:r>
    </w:p>
    <w:p w14:paraId="27A74D9D">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（7）技术标准和要求； </w:t>
      </w:r>
    </w:p>
    <w:p w14:paraId="3CD3BBC0">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（8）投标文件格式；</w:t>
      </w:r>
    </w:p>
    <w:p w14:paraId="1EB23BED">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（9）投标人须知前附表规定的其他材料。</w:t>
      </w:r>
    </w:p>
    <w:p w14:paraId="678F6E4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根据本章第1.10款、第2.2款和第2.3款对招标文件所作的澄清、修改，构成招标文件的组成部分。</w:t>
      </w:r>
    </w:p>
    <w:p w14:paraId="1F622A5D">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04" w:name="_Toc152045544"/>
      <w:bookmarkStart w:id="205" w:name="_Toc28852"/>
      <w:bookmarkStart w:id="206" w:name="_Toc149206240"/>
      <w:bookmarkStart w:id="207" w:name="_Toc34814192"/>
      <w:bookmarkStart w:id="208" w:name="_Toc152042320"/>
      <w:bookmarkStart w:id="209" w:name="_Toc149206092"/>
      <w:bookmarkStart w:id="210" w:name="_Toc27986225"/>
      <w:bookmarkStart w:id="211" w:name="_Toc34744562"/>
      <w:bookmarkStart w:id="212" w:name="_Toc23765"/>
      <w:bookmarkStart w:id="213" w:name="_Toc144974512"/>
      <w:r>
        <w:rPr>
          <w:rFonts w:hint="eastAsia" w:ascii="宋体" w:hAnsi="宋体" w:eastAsia="宋体"/>
          <w:color w:val="000000" w:themeColor="text1"/>
          <w14:textFill>
            <w14:solidFill>
              <w14:schemeClr w14:val="tx1"/>
            </w14:solidFill>
          </w14:textFill>
        </w:rPr>
        <w:t>2.2 招标文件的澄清</w:t>
      </w:r>
      <w:bookmarkEnd w:id="204"/>
      <w:bookmarkEnd w:id="205"/>
      <w:bookmarkEnd w:id="206"/>
      <w:bookmarkEnd w:id="207"/>
      <w:bookmarkEnd w:id="208"/>
      <w:bookmarkEnd w:id="209"/>
      <w:bookmarkEnd w:id="210"/>
      <w:bookmarkEnd w:id="211"/>
      <w:bookmarkEnd w:id="212"/>
      <w:bookmarkEnd w:id="213"/>
    </w:p>
    <w:p w14:paraId="71D32654">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479AFE03">
      <w:pPr>
        <w:spacing w:line="40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招标文件的澄清将在投标人须知前附表规定的时间前以书面形式发给所有购买招标文件的投标人，但不指明澄清问题的来源。</w:t>
      </w:r>
    </w:p>
    <w:p w14:paraId="0421AA0E">
      <w:pPr>
        <w:spacing w:line="400" w:lineRule="exact"/>
        <w:ind w:firstLine="42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投标人在收到澄清后，应在投标人须知前附表规定的时间内以书面形式通知招标人，确认已收到该澄清。</w:t>
      </w:r>
    </w:p>
    <w:p w14:paraId="4336EC07">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14" w:name="_Toc149206241"/>
      <w:bookmarkStart w:id="215" w:name="_Toc152045545"/>
      <w:bookmarkStart w:id="216" w:name="_Toc144974513"/>
      <w:bookmarkStart w:id="217" w:name="_Toc152042321"/>
      <w:bookmarkStart w:id="218" w:name="_Toc149206093"/>
      <w:bookmarkStart w:id="219" w:name="_Toc18262"/>
      <w:bookmarkStart w:id="220" w:name="_Toc34814193"/>
      <w:bookmarkStart w:id="221" w:name="_Toc30689"/>
      <w:bookmarkStart w:id="222" w:name="_Toc27986226"/>
      <w:bookmarkStart w:id="223" w:name="_Toc34744563"/>
      <w:r>
        <w:rPr>
          <w:rFonts w:hint="eastAsia" w:ascii="宋体" w:hAnsi="宋体" w:eastAsia="宋体"/>
          <w:color w:val="000000" w:themeColor="text1"/>
          <w14:textFill>
            <w14:solidFill>
              <w14:schemeClr w14:val="tx1"/>
            </w14:solidFill>
          </w14:textFill>
        </w:rPr>
        <w:t>2.3 招标文件的修改</w:t>
      </w:r>
      <w:bookmarkEnd w:id="214"/>
      <w:bookmarkEnd w:id="215"/>
      <w:bookmarkEnd w:id="216"/>
      <w:bookmarkEnd w:id="217"/>
      <w:bookmarkEnd w:id="218"/>
      <w:bookmarkEnd w:id="219"/>
      <w:bookmarkEnd w:id="220"/>
      <w:bookmarkEnd w:id="221"/>
      <w:bookmarkEnd w:id="222"/>
      <w:bookmarkEnd w:id="223"/>
    </w:p>
    <w:p w14:paraId="7100D2D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2.3.1 投标人收到修改内容后，应在投标人须知前附表规定的时间内以书面形式通知招标人，确认已收到该修改。</w:t>
      </w:r>
    </w:p>
    <w:p w14:paraId="48E2A0D8">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224" w:name="_Toc144974514"/>
      <w:bookmarkStart w:id="225" w:name="_Toc34814194"/>
      <w:bookmarkStart w:id="226" w:name="_Toc27986227"/>
      <w:bookmarkStart w:id="227" w:name="_Toc152042322"/>
      <w:bookmarkStart w:id="228" w:name="_Toc152045546"/>
      <w:bookmarkStart w:id="229" w:name="_Toc20549"/>
      <w:bookmarkStart w:id="230" w:name="_Toc34744564"/>
      <w:bookmarkStart w:id="231" w:name="_Toc149206242"/>
      <w:bookmarkStart w:id="232" w:name="_Toc7344"/>
      <w:r>
        <w:rPr>
          <w:rFonts w:hint="eastAsia" w:ascii="宋体" w:hAnsi="宋体"/>
          <w:color w:val="000000" w:themeColor="text1"/>
          <w14:textFill>
            <w14:solidFill>
              <w14:schemeClr w14:val="tx1"/>
            </w14:solidFill>
          </w14:textFill>
        </w:rPr>
        <w:t>3. 投标文件</w:t>
      </w:r>
      <w:bookmarkEnd w:id="224"/>
      <w:bookmarkEnd w:id="225"/>
      <w:bookmarkEnd w:id="226"/>
      <w:bookmarkEnd w:id="227"/>
      <w:bookmarkEnd w:id="228"/>
      <w:bookmarkEnd w:id="229"/>
      <w:bookmarkEnd w:id="230"/>
      <w:bookmarkEnd w:id="231"/>
      <w:bookmarkEnd w:id="232"/>
    </w:p>
    <w:p w14:paraId="2B235F4D">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33" w:name="_Toc34744565"/>
      <w:bookmarkStart w:id="234" w:name="_Toc34814195"/>
      <w:bookmarkStart w:id="235" w:name="_Toc149206243"/>
      <w:bookmarkStart w:id="236" w:name="_Toc149206095"/>
      <w:bookmarkStart w:id="237" w:name="_Toc23665"/>
      <w:bookmarkStart w:id="238" w:name="_Toc152045547"/>
      <w:bookmarkStart w:id="239" w:name="_Toc152042323"/>
      <w:bookmarkStart w:id="240" w:name="_Toc144974515"/>
      <w:bookmarkStart w:id="241" w:name="_Toc17240"/>
      <w:bookmarkStart w:id="242" w:name="_Toc27986228"/>
      <w:r>
        <w:rPr>
          <w:rFonts w:hint="eastAsia" w:ascii="宋体" w:hAnsi="宋体" w:eastAsia="宋体"/>
          <w:color w:val="000000" w:themeColor="text1"/>
          <w14:textFill>
            <w14:solidFill>
              <w14:schemeClr w14:val="tx1"/>
            </w14:solidFill>
          </w14:textFill>
        </w:rPr>
        <w:t>3.1 投标文件的组成</w:t>
      </w:r>
      <w:bookmarkEnd w:id="233"/>
      <w:bookmarkEnd w:id="234"/>
      <w:bookmarkEnd w:id="235"/>
      <w:bookmarkEnd w:id="236"/>
      <w:bookmarkEnd w:id="237"/>
      <w:bookmarkEnd w:id="238"/>
      <w:bookmarkEnd w:id="239"/>
      <w:bookmarkEnd w:id="240"/>
      <w:bookmarkEnd w:id="241"/>
      <w:bookmarkEnd w:id="242"/>
    </w:p>
    <w:p w14:paraId="7F38E51C">
      <w:pPr>
        <w:spacing w:line="360" w:lineRule="auto"/>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3.1.1商务标应包括下列内容：</w:t>
      </w:r>
    </w:p>
    <w:p w14:paraId="7DB2EFEC">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（1）投标函及投标函附录；</w:t>
      </w:r>
    </w:p>
    <w:p w14:paraId="0C7FDC9A">
      <w:pPr>
        <w:spacing w:line="360" w:lineRule="auto"/>
        <w:ind w:firstLine="359" w:firstLineChars="171"/>
        <w:contextualSpacing/>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）投标保证金；</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转账</w:t>
      </w:r>
      <w:r>
        <w:rPr>
          <w:rFonts w:hint="eastAsia" w:ascii="宋体" w:hAnsi="宋体"/>
          <w:color w:val="000000" w:themeColor="text1"/>
          <w:lang w:eastAsia="zh-CN"/>
          <w14:textFill>
            <w14:solidFill>
              <w14:schemeClr w14:val="tx1"/>
            </w14:solidFill>
          </w14:textFill>
        </w:rPr>
        <w:t>）</w:t>
      </w:r>
    </w:p>
    <w:p w14:paraId="1FF08AB2">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）投标人须知前附表规定的其他材料。</w:t>
      </w:r>
    </w:p>
    <w:p w14:paraId="4D719AF9">
      <w:pPr>
        <w:spacing w:line="360" w:lineRule="auto"/>
        <w:ind w:firstLine="359" w:firstLineChars="171"/>
        <w:contextualSpacing/>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无拖欠农民工工资的承诺函；（格式自拟）</w:t>
      </w:r>
    </w:p>
    <w:p w14:paraId="2A529CA3">
      <w:pPr>
        <w:pStyle w:val="12"/>
        <w:pBdr>
          <w:bottom w:val="none" w:color="auto" w:sz="0" w:space="0"/>
        </w:pBdr>
        <w:spacing w:line="360" w:lineRule="auto"/>
        <w:ind w:firstLine="420" w:firstLineChars="200"/>
        <w:jc w:val="both"/>
        <w:rPr>
          <w:rFonts w:hint="eastAsia" w:ascii="宋体" w:hAnsi="宋体" w:cs="宋体"/>
          <w:color w:val="000000" w:themeColor="text1"/>
          <w:sz w:val="21"/>
          <w:szCs w:val="24"/>
          <w14:textFill>
            <w14:solidFill>
              <w14:schemeClr w14:val="tx1"/>
            </w14:solidFill>
          </w14:textFill>
        </w:rPr>
      </w:pPr>
      <w:r>
        <w:rPr>
          <w:rFonts w:hint="eastAsia" w:ascii="宋体" w:hAnsi="宋体" w:cs="宋体"/>
          <w:color w:val="000000" w:themeColor="text1"/>
          <w:sz w:val="21"/>
          <w:szCs w:val="24"/>
          <w14:textFill>
            <w14:solidFill>
              <w14:schemeClr w14:val="tx1"/>
            </w14:solidFill>
          </w14:textFill>
        </w:rPr>
        <w:t>3.1.2</w:t>
      </w:r>
      <w:r>
        <w:rPr>
          <w:rFonts w:hint="eastAsia"/>
          <w:color w:val="000000" w:themeColor="text1"/>
          <w:sz w:val="21"/>
          <w:szCs w:val="24"/>
          <w14:textFill>
            <w14:solidFill>
              <w14:schemeClr w14:val="tx1"/>
            </w14:solidFill>
          </w14:textFill>
        </w:rPr>
        <w:t>资格审查资</w:t>
      </w:r>
      <w:r>
        <w:rPr>
          <w:rFonts w:hint="eastAsia"/>
          <w:color w:val="000000" w:themeColor="text1"/>
          <w:sz w:val="21"/>
          <w:szCs w:val="24"/>
          <w:lang w:eastAsia="zh-CN"/>
          <w14:textFill>
            <w14:solidFill>
              <w14:schemeClr w14:val="tx1"/>
            </w14:solidFill>
          </w14:textFill>
        </w:rPr>
        <w:t>料</w:t>
      </w:r>
    </w:p>
    <w:p w14:paraId="05DC88DF">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法定代表人身份证明或附有法定代表人身份证明的授权委托书</w:t>
      </w:r>
    </w:p>
    <w:p w14:paraId="12295771">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营业执照</w:t>
      </w:r>
    </w:p>
    <w:p w14:paraId="3A4A24B0">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3.1.3 投标人须知前附表规定不接受联合体投标的，或投标人没有组成联合体的，投标文件不包括本章第3.1.1（3）目所指的联合体协议书。 </w:t>
      </w:r>
    </w:p>
    <w:p w14:paraId="270206B5">
      <w:pPr>
        <w:pStyle w:val="24"/>
        <w:spacing w:line="360" w:lineRule="auto"/>
        <w:contextualSpacing/>
        <w:outlineLvl w:val="0"/>
        <w:rPr>
          <w:rFonts w:hint="eastAsia" w:ascii="宋体" w:hAnsi="宋体" w:eastAsia="宋体"/>
          <w:color w:val="0000FF"/>
        </w:rPr>
      </w:pPr>
      <w:bookmarkStart w:id="243" w:name="_Toc19183"/>
      <w:bookmarkStart w:id="244" w:name="_Toc152045548"/>
      <w:bookmarkStart w:id="245" w:name="_Toc149206244"/>
      <w:bookmarkStart w:id="246" w:name="_Toc34814196"/>
      <w:bookmarkStart w:id="247" w:name="_Toc144974516"/>
      <w:bookmarkStart w:id="248" w:name="_Toc152042324"/>
      <w:bookmarkStart w:id="249" w:name="_Toc149206096"/>
      <w:bookmarkStart w:id="250" w:name="_Toc34744566"/>
      <w:bookmarkStart w:id="251" w:name="_Toc15121"/>
      <w:bookmarkStart w:id="252" w:name="_Toc27986229"/>
      <w:r>
        <w:rPr>
          <w:rFonts w:hint="eastAsia" w:ascii="宋体" w:hAnsi="宋体" w:eastAsia="宋体"/>
          <w:color w:val="0000FF"/>
        </w:rPr>
        <w:t>3.2 投标报价</w:t>
      </w:r>
      <w:bookmarkEnd w:id="243"/>
      <w:bookmarkEnd w:id="244"/>
      <w:bookmarkEnd w:id="245"/>
      <w:bookmarkEnd w:id="246"/>
      <w:bookmarkEnd w:id="247"/>
      <w:bookmarkEnd w:id="248"/>
      <w:bookmarkEnd w:id="249"/>
      <w:bookmarkEnd w:id="250"/>
      <w:bookmarkEnd w:id="251"/>
      <w:bookmarkEnd w:id="252"/>
    </w:p>
    <w:p w14:paraId="193001E9">
      <w:pPr>
        <w:spacing w:line="360" w:lineRule="auto"/>
        <w:ind w:firstLine="420" w:firstLineChars="200"/>
        <w:contextualSpacing/>
        <w:rPr>
          <w:rFonts w:hint="eastAsia" w:ascii="宋体" w:hAnsi="宋体"/>
          <w:color w:val="0000FF"/>
        </w:rPr>
      </w:pPr>
      <w:r>
        <w:rPr>
          <w:rFonts w:hint="eastAsia" w:ascii="宋体" w:hAnsi="宋体"/>
          <w:color w:val="0000FF"/>
        </w:rPr>
        <w:t>3.2.</w:t>
      </w:r>
      <w:r>
        <w:rPr>
          <w:rFonts w:hint="eastAsia" w:ascii="宋体" w:hAnsi="宋体"/>
          <w:color w:val="0000FF"/>
          <w:lang w:val="en-US" w:eastAsia="zh-CN"/>
        </w:rPr>
        <w:t>1</w:t>
      </w:r>
      <w:r>
        <w:rPr>
          <w:rFonts w:hint="eastAsia" w:ascii="宋体" w:hAnsi="宋体"/>
          <w:color w:val="0000FF"/>
        </w:rPr>
        <w:t xml:space="preserve"> 投标人在投标截止时间前修改投标函中的投标总报价，此修改须符合本章第4.3款的有关要求。　　</w:t>
      </w:r>
    </w:p>
    <w:p w14:paraId="3D362485">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53" w:name="_Toc12905"/>
      <w:bookmarkStart w:id="254" w:name="_Toc149206097"/>
      <w:bookmarkStart w:id="255" w:name="_Toc144974517"/>
      <w:bookmarkStart w:id="256" w:name="_Toc27986230"/>
      <w:bookmarkStart w:id="257" w:name="_Toc149206245"/>
      <w:bookmarkStart w:id="258" w:name="_Toc3129"/>
      <w:bookmarkStart w:id="259" w:name="_Toc152045549"/>
      <w:bookmarkStart w:id="260" w:name="_Toc34814197"/>
      <w:bookmarkStart w:id="261" w:name="_Toc152042325"/>
      <w:bookmarkStart w:id="262" w:name="_Toc34744567"/>
      <w:r>
        <w:rPr>
          <w:rFonts w:hint="eastAsia" w:ascii="宋体" w:hAnsi="宋体" w:eastAsia="宋体"/>
          <w:color w:val="000000" w:themeColor="text1"/>
          <w14:textFill>
            <w14:solidFill>
              <w14:schemeClr w14:val="tx1"/>
            </w14:solidFill>
          </w14:textFill>
        </w:rPr>
        <w:t>3.3 投标有效期</w:t>
      </w:r>
      <w:bookmarkEnd w:id="253"/>
      <w:bookmarkEnd w:id="254"/>
      <w:bookmarkEnd w:id="255"/>
      <w:bookmarkEnd w:id="256"/>
      <w:bookmarkEnd w:id="257"/>
      <w:bookmarkEnd w:id="258"/>
      <w:bookmarkEnd w:id="259"/>
      <w:bookmarkEnd w:id="260"/>
      <w:bookmarkEnd w:id="261"/>
      <w:bookmarkEnd w:id="262"/>
    </w:p>
    <w:p w14:paraId="28AE842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3.3.1 在投标人须知前附表规定的投标有效期内，投标人不得要求撤销或修改其投标文件。</w:t>
      </w:r>
    </w:p>
    <w:p w14:paraId="3BABE96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50FC7955">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63" w:name="_Toc34744568"/>
      <w:bookmarkStart w:id="264" w:name="_Toc27986231"/>
      <w:bookmarkStart w:id="265" w:name="_Toc24365"/>
      <w:bookmarkStart w:id="266" w:name="_Toc34814198"/>
      <w:bookmarkStart w:id="267" w:name="_Toc144974518"/>
      <w:bookmarkStart w:id="268" w:name="_Toc149206098"/>
      <w:bookmarkStart w:id="269" w:name="_Toc15764"/>
      <w:bookmarkStart w:id="270" w:name="_Toc149206246"/>
      <w:bookmarkStart w:id="271" w:name="_Toc152042326"/>
      <w:bookmarkStart w:id="272" w:name="_Toc152045550"/>
      <w:r>
        <w:rPr>
          <w:rFonts w:hint="eastAsia" w:ascii="宋体" w:hAnsi="宋体" w:eastAsia="宋体"/>
          <w:color w:val="000000" w:themeColor="text1"/>
          <w14:textFill>
            <w14:solidFill>
              <w14:schemeClr w14:val="tx1"/>
            </w14:solidFill>
          </w14:textFill>
        </w:rPr>
        <w:t>3.4 投标保证金</w:t>
      </w:r>
      <w:bookmarkEnd w:id="263"/>
      <w:bookmarkEnd w:id="264"/>
      <w:bookmarkEnd w:id="265"/>
      <w:bookmarkEnd w:id="266"/>
      <w:bookmarkEnd w:id="267"/>
      <w:bookmarkEnd w:id="268"/>
      <w:bookmarkEnd w:id="269"/>
      <w:bookmarkEnd w:id="270"/>
      <w:bookmarkEnd w:id="271"/>
      <w:bookmarkEnd w:id="272"/>
    </w:p>
    <w:p w14:paraId="3381C6E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3.4.1 投标人在递交投标文件的同时，应按投标人须知前附表规定的金额、形式和第八章“投标文件格式”规定的投标保证金格式递交投标保证金，并作为其投标文件的组成部分。联合体投标的，其投标保证金由牵头人递交，并应符合投标人须知前附表的规定。</w:t>
      </w:r>
    </w:p>
    <w:p w14:paraId="7F1EBB7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3.4.2 投标人不按本章第3.4.1项要求提交投标保证金的，应当否决其投标。</w:t>
      </w:r>
    </w:p>
    <w:p w14:paraId="1031048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 招标人在发出中标通知书后向未中标的投标人退还投标保证金。招标人最迟将在与中标人签订合同后5日内，向未中标的投标人和中标人退还投标保证金。</w:t>
      </w:r>
    </w:p>
    <w:p w14:paraId="2FDD3592">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3.4.4 有下列情形之一的，投标保证金将不予退还： </w:t>
      </w:r>
    </w:p>
    <w:p w14:paraId="00042278">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（1）投标人在规定的投标有效期内撤销或修改其投标文件；</w:t>
      </w:r>
    </w:p>
    <w:p w14:paraId="0FF07C57">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（2）中标人在收到中标通知书后，无正当理由拒签合同协议书或未按招标文件规定提交履约担保。</w:t>
      </w:r>
    </w:p>
    <w:p w14:paraId="465843C0">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73" w:name="_Toc152042328"/>
      <w:bookmarkStart w:id="274" w:name="_Toc152045552"/>
      <w:bookmarkStart w:id="275" w:name="_Toc149206100"/>
      <w:bookmarkStart w:id="276" w:name="_Toc149206248"/>
      <w:bookmarkStart w:id="277" w:name="_Toc34744570"/>
      <w:bookmarkStart w:id="278" w:name="_Toc34814200"/>
      <w:bookmarkStart w:id="279" w:name="_Toc27986233"/>
      <w:bookmarkStart w:id="280" w:name="_Toc14144"/>
      <w:bookmarkStart w:id="281" w:name="_Toc144974520"/>
      <w:bookmarkStart w:id="282" w:name="_Toc19019"/>
      <w:r>
        <w:rPr>
          <w:rFonts w:hint="eastAsia" w:ascii="宋体" w:hAnsi="宋体" w:eastAsia="宋体"/>
          <w:color w:val="000000" w:themeColor="text1"/>
          <w14:textFill>
            <w14:solidFill>
              <w14:schemeClr w14:val="tx1"/>
            </w14:solidFill>
          </w14:textFill>
        </w:rPr>
        <w:t>3.5 资格审查资料（适用于未进行资格预审的）</w:t>
      </w:r>
      <w:bookmarkEnd w:id="273"/>
      <w:bookmarkEnd w:id="274"/>
      <w:bookmarkEnd w:id="275"/>
      <w:bookmarkEnd w:id="276"/>
      <w:bookmarkEnd w:id="277"/>
      <w:bookmarkEnd w:id="278"/>
      <w:bookmarkEnd w:id="279"/>
      <w:bookmarkEnd w:id="280"/>
      <w:bookmarkEnd w:id="281"/>
      <w:bookmarkEnd w:id="282"/>
    </w:p>
    <w:p w14:paraId="1200AA6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3.5.1 “投标人基本情况表”应附投标人及其制造商（适用于代理经销商投标的情形）资格或者资质证书和投标材料检验或认证等材料以及： </w:t>
      </w:r>
    </w:p>
    <w:p w14:paraId="74C2B24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（1）投标人为企业的，应提交营业执照复印件和组织机构代码证复印件（按照“三证合一”或“五证合一”登记制度进行登记的，可仅提供营业执照复印件）</w:t>
      </w:r>
      <w:r>
        <w:rPr>
          <w:rFonts w:hint="eastAsia" w:ascii="宋体" w:hAnsi="宋体" w:eastAsia="宋体" w:cs="Times New Roman"/>
          <w:color w:val="000000" w:themeColor="text1"/>
          <w14:textFill>
            <w14:solidFill>
              <w14:schemeClr w14:val="tx1"/>
            </w14:solidFill>
          </w14:textFill>
        </w:rPr>
        <w:t xml:space="preserve">； </w:t>
      </w:r>
    </w:p>
    <w:p w14:paraId="3FE192D9">
      <w:pPr>
        <w:spacing w:line="360" w:lineRule="auto"/>
        <w:ind w:firstLine="420" w:firstLineChars="200"/>
        <w:contextualSpacing/>
        <w:rPr>
          <w:rFonts w:hint="eastAsia" w:ascii="宋体" w:hAnsi="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（2）投标人为依法允许经营的事业单位的，应提交事业单位法人证书和组织机构代码证</w:t>
      </w:r>
      <w:r>
        <w:rPr>
          <w:rFonts w:hint="eastAsia" w:ascii="宋体" w:hAnsi="宋体"/>
          <w:color w:val="000000" w:themeColor="text1"/>
          <w:lang w:eastAsia="zh-CN"/>
          <w14:textFill>
            <w14:solidFill>
              <w14:schemeClr w14:val="tx1"/>
            </w14:solidFill>
          </w14:textFill>
        </w:rPr>
        <w:t>；</w:t>
      </w:r>
    </w:p>
    <w:p w14:paraId="76C20F18">
      <w:pPr>
        <w:pStyle w:val="12"/>
        <w:pBdr>
          <w:bottom w:val="none" w:color="auto" w:sz="0" w:space="0"/>
        </w:pBdr>
        <w:spacing w:line="360" w:lineRule="auto"/>
        <w:ind w:firstLine="420" w:firstLineChars="200"/>
        <w:jc w:val="both"/>
        <w:rPr>
          <w:rFonts w:hint="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（3）法定代表人身份证明或附有法定代表人身份证明的授权委托书</w:t>
      </w:r>
    </w:p>
    <w:p w14:paraId="1E4406DD">
      <w:pPr>
        <w:spacing w:after="0" w:line="360" w:lineRule="auto"/>
        <w:ind w:left="-15" w:right="590" w:firstLine="420"/>
        <w:rPr>
          <w:rFonts w:hint="default" w:eastAsia="宋体"/>
          <w:color w:val="000000" w:themeColor="text1"/>
          <w:lang w:val="en-US" w:eastAsia="zh-CN"/>
          <w14:textFill>
            <w14:solidFill>
              <w14:schemeClr w14:val="tx1"/>
            </w14:solidFill>
          </w14:textFill>
        </w:rPr>
      </w:pPr>
      <w:r>
        <w:rPr>
          <w:rFonts w:ascii="Arial" w:hAnsi="Arial" w:eastAsia="宋体" w:cs="Arial"/>
          <w:color w:val="000000" w:themeColor="text1"/>
          <w:sz w:val="21"/>
          <w:highlight w:val="none"/>
          <w14:textFill>
            <w14:solidFill>
              <w14:schemeClr w14:val="tx1"/>
            </w14:solidFill>
          </w14:textFill>
        </w:rPr>
        <w:t>合体投标的，本章第 3.5.1 项至第 3.5.</w:t>
      </w:r>
      <w:r>
        <w:rPr>
          <w:rFonts w:hint="eastAsia" w:ascii="Arial" w:hAnsi="Arial" w:eastAsia="宋体" w:cs="Arial"/>
          <w:color w:val="000000" w:themeColor="text1"/>
          <w:sz w:val="21"/>
          <w:highlight w:val="none"/>
          <w:lang w:val="en-US" w:eastAsia="zh-CN"/>
          <w14:textFill>
            <w14:solidFill>
              <w14:schemeClr w14:val="tx1"/>
            </w14:solidFill>
          </w14:textFill>
        </w:rPr>
        <w:t>2</w:t>
      </w:r>
      <w:r>
        <w:rPr>
          <w:rFonts w:ascii="Arial" w:hAnsi="Arial" w:eastAsia="宋体" w:cs="Arial"/>
          <w:color w:val="000000" w:themeColor="text1"/>
          <w:sz w:val="21"/>
          <w:highlight w:val="none"/>
          <w14:textFill>
            <w14:solidFill>
              <w14:schemeClr w14:val="tx1"/>
            </w14:solidFill>
          </w14:textFill>
        </w:rPr>
        <w:t xml:space="preserve"> 项规定的表格和资料应包括联合体各方相关情况。 </w:t>
      </w:r>
    </w:p>
    <w:p w14:paraId="4AA59A9B">
      <w:pPr>
        <w:spacing w:line="360" w:lineRule="auto"/>
        <w:ind w:firstLine="422" w:firstLineChars="200"/>
        <w:contextualSpacing/>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注：建设行政主管部门已启用电子证书且投标人已办理电子证书的，则有效的电子证书具备与同名纸质证书相同效力。</w:t>
      </w:r>
    </w:p>
    <w:p w14:paraId="718AD48F">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83" w:name="_Toc152045553"/>
      <w:bookmarkStart w:id="284" w:name="_Toc149206101"/>
      <w:bookmarkStart w:id="285" w:name="_Toc15464"/>
      <w:bookmarkStart w:id="286" w:name="_Toc144974521"/>
      <w:bookmarkStart w:id="287" w:name="_Toc34814201"/>
      <w:bookmarkStart w:id="288" w:name="_Toc149206249"/>
      <w:bookmarkStart w:id="289" w:name="_Toc152042329"/>
      <w:bookmarkStart w:id="290" w:name="_Toc34744571"/>
      <w:bookmarkStart w:id="291" w:name="_Toc27986234"/>
      <w:bookmarkStart w:id="292" w:name="_Toc27767"/>
      <w:r>
        <w:rPr>
          <w:rFonts w:hint="eastAsia" w:ascii="宋体" w:hAnsi="宋体" w:eastAsia="宋体"/>
          <w:color w:val="000000" w:themeColor="text1"/>
          <w14:textFill>
            <w14:solidFill>
              <w14:schemeClr w14:val="tx1"/>
            </w14:solidFill>
          </w14:textFill>
        </w:rPr>
        <w:t>3.6 备选投标方案</w:t>
      </w:r>
      <w:bookmarkEnd w:id="283"/>
      <w:bookmarkEnd w:id="284"/>
      <w:bookmarkEnd w:id="285"/>
      <w:bookmarkEnd w:id="286"/>
      <w:bookmarkEnd w:id="287"/>
      <w:bookmarkEnd w:id="288"/>
      <w:bookmarkEnd w:id="289"/>
      <w:bookmarkEnd w:id="290"/>
      <w:bookmarkEnd w:id="291"/>
      <w:bookmarkEnd w:id="292"/>
    </w:p>
    <w:p w14:paraId="0A17306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77B5CD8C">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293" w:name="_Toc149206102"/>
      <w:bookmarkStart w:id="294" w:name="_Toc152042330"/>
      <w:bookmarkStart w:id="295" w:name="_Toc27986235"/>
      <w:bookmarkStart w:id="296" w:name="_Toc149206250"/>
      <w:bookmarkStart w:id="297" w:name="_Toc17358"/>
      <w:bookmarkStart w:id="298" w:name="_Toc152045554"/>
      <w:bookmarkStart w:id="299" w:name="_Toc11571"/>
      <w:bookmarkStart w:id="300" w:name="_Toc34744572"/>
      <w:bookmarkStart w:id="301" w:name="_Toc144974522"/>
      <w:bookmarkStart w:id="302" w:name="_Toc34814202"/>
      <w:r>
        <w:rPr>
          <w:rFonts w:hint="eastAsia" w:ascii="宋体" w:hAnsi="宋体" w:eastAsia="宋体"/>
          <w:color w:val="000000" w:themeColor="text1"/>
          <w14:textFill>
            <w14:solidFill>
              <w14:schemeClr w14:val="tx1"/>
            </w14:solidFill>
          </w14:textFill>
        </w:rPr>
        <w:t>3.7 投标文件的编制</w:t>
      </w:r>
      <w:bookmarkEnd w:id="293"/>
      <w:bookmarkEnd w:id="294"/>
      <w:bookmarkEnd w:id="295"/>
      <w:bookmarkEnd w:id="296"/>
      <w:bookmarkEnd w:id="297"/>
      <w:bookmarkEnd w:id="298"/>
      <w:bookmarkEnd w:id="299"/>
      <w:bookmarkEnd w:id="300"/>
      <w:bookmarkEnd w:id="301"/>
      <w:bookmarkEnd w:id="302"/>
    </w:p>
    <w:p w14:paraId="409B82CF">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3.7.1投标文件应按第八章“投标文件格式”进行编写，如有必要，可以增加附页，作为投标文件的组成部分。其中，投标函附录在满足招标文件实质性要求和承诺。</w:t>
      </w:r>
    </w:p>
    <w:p w14:paraId="31E033F9">
      <w:pPr>
        <w:spacing w:line="360" w:lineRule="auto"/>
        <w:ind w:firstLine="420" w:firstLineChars="200"/>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3.7.2 投标文件应当对招标文件有关</w:t>
      </w:r>
      <w:r>
        <w:rPr>
          <w:rFonts w:hint="eastAsia" w:ascii="宋体" w:hAnsi="宋体"/>
          <w:color w:val="000000" w:themeColor="text1"/>
          <w:szCs w:val="21"/>
          <w14:textFill>
            <w14:solidFill>
              <w14:schemeClr w14:val="tx1"/>
            </w14:solidFill>
          </w14:textFill>
        </w:rPr>
        <w:t>工期、投标有效期、质量要求、技术标准和要求、招标范围等实质性内容作出响应。</w:t>
      </w:r>
    </w:p>
    <w:p w14:paraId="12CEDCA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3.7.3投标文件应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0A6C916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 投标文件份数见投标人须知前附表。</w:t>
      </w:r>
    </w:p>
    <w:p w14:paraId="5964BF41">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3.7.5 投标文件具体装订要求见投标人须知前附表规定。</w:t>
      </w:r>
    </w:p>
    <w:p w14:paraId="7012865D">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03" w:name="_Toc34744573"/>
      <w:bookmarkStart w:id="304" w:name="_Toc152042331"/>
      <w:bookmarkStart w:id="305" w:name="_Toc149206251"/>
      <w:bookmarkStart w:id="306" w:name="_Toc6808"/>
      <w:bookmarkStart w:id="307" w:name="_Toc152045555"/>
      <w:bookmarkStart w:id="308" w:name="_Toc32706"/>
      <w:bookmarkStart w:id="309" w:name="_Toc27986236"/>
      <w:bookmarkStart w:id="310" w:name="_Toc34814203"/>
      <w:bookmarkStart w:id="311" w:name="_Toc144974523"/>
      <w:r>
        <w:rPr>
          <w:rFonts w:hint="eastAsia" w:ascii="宋体" w:hAnsi="宋体"/>
          <w:color w:val="000000" w:themeColor="text1"/>
          <w14:textFill>
            <w14:solidFill>
              <w14:schemeClr w14:val="tx1"/>
            </w14:solidFill>
          </w14:textFill>
        </w:rPr>
        <w:t>4. 投标</w:t>
      </w:r>
      <w:bookmarkEnd w:id="303"/>
      <w:bookmarkEnd w:id="304"/>
      <w:bookmarkEnd w:id="305"/>
      <w:bookmarkEnd w:id="306"/>
      <w:bookmarkEnd w:id="307"/>
      <w:bookmarkEnd w:id="308"/>
      <w:bookmarkEnd w:id="309"/>
      <w:bookmarkEnd w:id="310"/>
      <w:bookmarkEnd w:id="311"/>
    </w:p>
    <w:p w14:paraId="723FA580">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12" w:name="_Toc152045556"/>
      <w:bookmarkStart w:id="313" w:name="_Toc5003"/>
      <w:bookmarkStart w:id="314" w:name="_Toc152042332"/>
      <w:bookmarkStart w:id="315" w:name="_Toc149206252"/>
      <w:bookmarkStart w:id="316" w:name="_Toc149206104"/>
      <w:bookmarkStart w:id="317" w:name="_Toc144974524"/>
      <w:bookmarkStart w:id="318" w:name="_Toc27986237"/>
      <w:bookmarkStart w:id="319" w:name="_Toc20780"/>
      <w:bookmarkStart w:id="320" w:name="_Toc34744574"/>
      <w:bookmarkStart w:id="321" w:name="_Toc34814204"/>
      <w:r>
        <w:rPr>
          <w:rFonts w:hint="eastAsia" w:ascii="宋体" w:hAnsi="宋体" w:eastAsia="宋体"/>
          <w:color w:val="000000" w:themeColor="text1"/>
          <w14:textFill>
            <w14:solidFill>
              <w14:schemeClr w14:val="tx1"/>
            </w14:solidFill>
          </w14:textFill>
        </w:rPr>
        <w:t>4.1 投标文件的密封和标记</w:t>
      </w:r>
      <w:bookmarkEnd w:id="312"/>
      <w:bookmarkEnd w:id="313"/>
      <w:bookmarkEnd w:id="314"/>
      <w:bookmarkEnd w:id="315"/>
      <w:bookmarkEnd w:id="316"/>
      <w:bookmarkEnd w:id="317"/>
      <w:bookmarkEnd w:id="318"/>
      <w:bookmarkEnd w:id="319"/>
      <w:bookmarkEnd w:id="320"/>
      <w:bookmarkEnd w:id="321"/>
    </w:p>
    <w:p w14:paraId="367C453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4.1.1投标文件的正本与副本应分开包装，加贴封条，并在封套的封口处加盖投标人单位章。</w:t>
      </w:r>
    </w:p>
    <w:p w14:paraId="34B37EB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4.1.2 投标文件的封套上应清楚地标记“正本”或“副本”字样，封套上应写明的其他内容见投标人须知前附表。</w:t>
      </w:r>
    </w:p>
    <w:p w14:paraId="4AA4BA05">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 未按本章第4.1.1项或第4.1.2项要求密封和加写标记的投标文件，招标人不予受理。</w:t>
      </w:r>
    </w:p>
    <w:p w14:paraId="5E7F38BD">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22" w:name="_Toc11150"/>
      <w:bookmarkStart w:id="323" w:name="_Toc149206105"/>
      <w:bookmarkStart w:id="324" w:name="_Toc144974525"/>
      <w:bookmarkStart w:id="325" w:name="_Toc152042333"/>
      <w:bookmarkStart w:id="326" w:name="_Toc27986238"/>
      <w:bookmarkStart w:id="327" w:name="_Toc34744575"/>
      <w:bookmarkStart w:id="328" w:name="_Toc149206253"/>
      <w:bookmarkStart w:id="329" w:name="_Toc152045557"/>
      <w:bookmarkStart w:id="330" w:name="_Toc34814205"/>
      <w:bookmarkStart w:id="331" w:name="_Toc9216"/>
      <w:r>
        <w:rPr>
          <w:rFonts w:hint="eastAsia" w:ascii="宋体" w:hAnsi="宋体" w:eastAsia="宋体"/>
          <w:color w:val="000000" w:themeColor="text1"/>
          <w14:textFill>
            <w14:solidFill>
              <w14:schemeClr w14:val="tx1"/>
            </w14:solidFill>
          </w14:textFill>
        </w:rPr>
        <w:t>4.2 投标文件的递交</w:t>
      </w:r>
      <w:bookmarkEnd w:id="322"/>
      <w:bookmarkEnd w:id="323"/>
      <w:bookmarkEnd w:id="324"/>
      <w:bookmarkEnd w:id="325"/>
      <w:bookmarkEnd w:id="326"/>
      <w:bookmarkEnd w:id="327"/>
      <w:bookmarkEnd w:id="328"/>
      <w:bookmarkEnd w:id="329"/>
      <w:bookmarkEnd w:id="330"/>
      <w:bookmarkEnd w:id="331"/>
    </w:p>
    <w:p w14:paraId="7D06134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4.2.1 投标人应在本章第2.2.2项规定的投标截止时间前递交投标文件。</w:t>
      </w:r>
    </w:p>
    <w:p w14:paraId="6CD86C3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4.2.2 投标人递交投标文件的地点：见投标人须知前附表。</w:t>
      </w:r>
    </w:p>
    <w:p w14:paraId="109D8159">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4.2.3 除投标人须知前附表另有规定外，投标人所递交的投标文件不予退还。</w:t>
      </w:r>
    </w:p>
    <w:p w14:paraId="58F3588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4.2.4 招标人收到投标文件后，向投标人出具签收凭证。</w:t>
      </w:r>
    </w:p>
    <w:p w14:paraId="743F8F32">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4.2.5 逾期送达的或者未送达指定地点的投标文件，招标人不予受理。</w:t>
      </w:r>
    </w:p>
    <w:p w14:paraId="64D7FF77">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32" w:name="_Toc144974526"/>
      <w:bookmarkStart w:id="333" w:name="_Toc152045558"/>
      <w:bookmarkStart w:id="334" w:name="_Toc1185"/>
      <w:bookmarkStart w:id="335" w:name="_Toc149206254"/>
      <w:bookmarkStart w:id="336" w:name="_Toc152042334"/>
      <w:bookmarkStart w:id="337" w:name="_Toc34814206"/>
      <w:bookmarkStart w:id="338" w:name="_Toc27986239"/>
      <w:bookmarkStart w:id="339" w:name="_Toc34744576"/>
      <w:bookmarkStart w:id="340" w:name="_Toc149206106"/>
      <w:bookmarkStart w:id="341" w:name="_Toc21812"/>
      <w:r>
        <w:rPr>
          <w:rFonts w:hint="eastAsia" w:ascii="宋体" w:hAnsi="宋体" w:eastAsia="宋体"/>
          <w:color w:val="000000" w:themeColor="text1"/>
          <w14:textFill>
            <w14:solidFill>
              <w14:schemeClr w14:val="tx1"/>
            </w14:solidFill>
          </w14:textFill>
        </w:rPr>
        <w:t>4.3 投标文件的修改与撤回</w:t>
      </w:r>
      <w:bookmarkEnd w:id="332"/>
      <w:bookmarkEnd w:id="333"/>
      <w:bookmarkEnd w:id="334"/>
      <w:bookmarkEnd w:id="335"/>
      <w:bookmarkEnd w:id="336"/>
      <w:bookmarkEnd w:id="337"/>
      <w:bookmarkEnd w:id="338"/>
      <w:bookmarkEnd w:id="339"/>
      <w:bookmarkEnd w:id="340"/>
      <w:bookmarkEnd w:id="341"/>
    </w:p>
    <w:p w14:paraId="5A48640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 在本章第2.2.2项规定的投标截止时间前，投标人可以修改或撤回已递交的投标文件，但应以书面形式通知招标人。</w:t>
      </w:r>
    </w:p>
    <w:p w14:paraId="7155C8B6">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4.3.2 投标人修改或撤回已递交投标文件的书面通知应按照本章第3.7.3项的要求签字或盖章。招标人收到书面通知后，向投标人出具签收凭证。</w:t>
      </w:r>
    </w:p>
    <w:p w14:paraId="1699A36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4.3.3 修改的内容为投标文件的组成部分。修改的投标文件应按照本章第3条、第4条规定进行编制、密封、标记和递交，并标明“修改”字样。</w:t>
      </w:r>
    </w:p>
    <w:p w14:paraId="4DA76961">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42" w:name="_Toc34814207"/>
      <w:bookmarkStart w:id="343" w:name="_Toc152042335"/>
      <w:bookmarkStart w:id="344" w:name="_Toc34744577"/>
      <w:bookmarkStart w:id="345" w:name="_Toc144974527"/>
      <w:bookmarkStart w:id="346" w:name="_Toc24818"/>
      <w:bookmarkStart w:id="347" w:name="_Toc149206255"/>
      <w:bookmarkStart w:id="348" w:name="_Toc32719"/>
      <w:bookmarkStart w:id="349" w:name="_Toc152045559"/>
      <w:bookmarkStart w:id="350" w:name="_Toc27986240"/>
      <w:r>
        <w:rPr>
          <w:rFonts w:hint="eastAsia" w:ascii="宋体" w:hAnsi="宋体"/>
          <w:color w:val="000000" w:themeColor="text1"/>
          <w14:textFill>
            <w14:solidFill>
              <w14:schemeClr w14:val="tx1"/>
            </w14:solidFill>
          </w14:textFill>
        </w:rPr>
        <w:t>5. 开标</w:t>
      </w:r>
      <w:bookmarkEnd w:id="342"/>
      <w:bookmarkEnd w:id="343"/>
      <w:bookmarkEnd w:id="344"/>
      <w:bookmarkEnd w:id="345"/>
      <w:bookmarkEnd w:id="346"/>
      <w:bookmarkEnd w:id="347"/>
      <w:bookmarkEnd w:id="348"/>
      <w:bookmarkEnd w:id="349"/>
      <w:bookmarkEnd w:id="350"/>
    </w:p>
    <w:p w14:paraId="4E3D05B4">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51" w:name="_Toc152045560"/>
      <w:bookmarkStart w:id="352" w:name="_Toc34814208"/>
      <w:bookmarkStart w:id="353" w:name="_Toc34744578"/>
      <w:bookmarkStart w:id="354" w:name="_Toc149206256"/>
      <w:bookmarkStart w:id="355" w:name="_Toc27986241"/>
      <w:bookmarkStart w:id="356" w:name="_Toc152042336"/>
      <w:bookmarkStart w:id="357" w:name="_Toc21384"/>
      <w:bookmarkStart w:id="358" w:name="_Toc144974528"/>
      <w:bookmarkStart w:id="359" w:name="_Toc29912"/>
      <w:bookmarkStart w:id="360" w:name="_Toc149206108"/>
      <w:r>
        <w:rPr>
          <w:rFonts w:hint="eastAsia" w:ascii="宋体" w:hAnsi="宋体" w:eastAsia="宋体"/>
          <w:color w:val="000000" w:themeColor="text1"/>
          <w14:textFill>
            <w14:solidFill>
              <w14:schemeClr w14:val="tx1"/>
            </w14:solidFill>
          </w14:textFill>
        </w:rPr>
        <w:t>5.1 开标时间和地点</w:t>
      </w:r>
      <w:bookmarkEnd w:id="351"/>
      <w:bookmarkEnd w:id="352"/>
      <w:bookmarkEnd w:id="353"/>
      <w:bookmarkEnd w:id="354"/>
      <w:bookmarkEnd w:id="355"/>
      <w:bookmarkEnd w:id="356"/>
      <w:bookmarkEnd w:id="357"/>
      <w:bookmarkEnd w:id="358"/>
      <w:bookmarkEnd w:id="359"/>
      <w:bookmarkEnd w:id="360"/>
    </w:p>
    <w:p w14:paraId="4765F4D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招标人在本章第2.2.2项规定的投标截止时间（开标时间）和投标人须知前附表规定的地点公开开标，并邀请所有投标人的法定代表人或其委托代理人准时参加。</w:t>
      </w:r>
    </w:p>
    <w:p w14:paraId="0510ED4B">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61" w:name="_Toc16175"/>
      <w:bookmarkStart w:id="362" w:name="_Toc144974529"/>
      <w:bookmarkStart w:id="363" w:name="_Toc5193"/>
      <w:bookmarkStart w:id="364" w:name="_Toc152042337"/>
      <w:bookmarkStart w:id="365" w:name="_Toc152045561"/>
      <w:bookmarkStart w:id="366" w:name="_Toc149206257"/>
      <w:bookmarkStart w:id="367" w:name="_Toc34814209"/>
      <w:bookmarkStart w:id="368" w:name="_Toc34744579"/>
      <w:bookmarkStart w:id="369" w:name="_Toc149206109"/>
      <w:bookmarkStart w:id="370" w:name="_Toc27986242"/>
      <w:r>
        <w:rPr>
          <w:rFonts w:hint="eastAsia" w:ascii="宋体" w:hAnsi="宋体" w:eastAsia="宋体"/>
          <w:color w:val="000000" w:themeColor="text1"/>
          <w14:textFill>
            <w14:solidFill>
              <w14:schemeClr w14:val="tx1"/>
            </w14:solidFill>
          </w14:textFill>
        </w:rPr>
        <w:t>5.2 开标程序</w:t>
      </w:r>
      <w:bookmarkEnd w:id="361"/>
      <w:bookmarkEnd w:id="362"/>
      <w:bookmarkEnd w:id="363"/>
      <w:bookmarkEnd w:id="364"/>
      <w:bookmarkEnd w:id="365"/>
      <w:bookmarkEnd w:id="366"/>
      <w:bookmarkEnd w:id="367"/>
      <w:bookmarkEnd w:id="368"/>
      <w:bookmarkEnd w:id="369"/>
      <w:bookmarkEnd w:id="370"/>
    </w:p>
    <w:p w14:paraId="74B13EA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主持人按下列程序进行开标：</w:t>
      </w:r>
    </w:p>
    <w:p w14:paraId="11B55C25">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（1）宣布开标纪律；</w:t>
      </w:r>
    </w:p>
    <w:p w14:paraId="223CAE49">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（2）公布在投标截止时间前递交投标文件的投标人名称；</w:t>
      </w:r>
    </w:p>
    <w:p w14:paraId="2381A468">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（3）宣布开标人、唱标人、记录人、监标人等有关人员姓名；</w:t>
      </w:r>
    </w:p>
    <w:p w14:paraId="7C167836">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（4）检查投标文件的密封情况；</w:t>
      </w:r>
    </w:p>
    <w:p w14:paraId="5050D484">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（5）按照投标人须知前附表的规定确定并宣布投标文件开标顺序；</w:t>
      </w:r>
    </w:p>
    <w:p w14:paraId="710A1D33">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（6）设有标底的，公布标底； </w:t>
      </w:r>
    </w:p>
    <w:p w14:paraId="1A495BD6">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（7）按照宣布的开标顺序当众开标，公布投标人名称、标段名称、投标保证金的递交情况、投标报价、质量目标、工期及其他内容，并记录在案；</w:t>
      </w:r>
    </w:p>
    <w:p w14:paraId="6AC814A0">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（8）投标人代表(不见面开标除外)、招标人代表、监标人、记录人等有关人员在开标记录上签字确认；</w:t>
      </w:r>
    </w:p>
    <w:p w14:paraId="36A81AD3">
      <w:pPr>
        <w:spacing w:line="360" w:lineRule="auto"/>
        <w:ind w:firstLine="359" w:firstLineChars="171"/>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（9）开标结束。</w:t>
      </w:r>
    </w:p>
    <w:p w14:paraId="208C430A">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371" w:name="_Toc144974530"/>
      <w:bookmarkStart w:id="372" w:name="_Toc25469"/>
      <w:bookmarkStart w:id="373" w:name="_Toc25457"/>
      <w:bookmarkStart w:id="374" w:name="_Toc152042338"/>
      <w:bookmarkStart w:id="375" w:name="_Toc34744580"/>
      <w:bookmarkStart w:id="376" w:name="_Toc152045562"/>
      <w:bookmarkStart w:id="377" w:name="_Toc149206258"/>
      <w:bookmarkStart w:id="378" w:name="_Toc27986243"/>
      <w:bookmarkStart w:id="379" w:name="_Toc34814210"/>
      <w:r>
        <w:rPr>
          <w:rFonts w:hint="eastAsia" w:ascii="宋体" w:hAnsi="宋体"/>
          <w:color w:val="000000" w:themeColor="text1"/>
          <w14:textFill>
            <w14:solidFill>
              <w14:schemeClr w14:val="tx1"/>
            </w14:solidFill>
          </w14:textFill>
        </w:rPr>
        <w:t>6. 评标</w:t>
      </w:r>
      <w:bookmarkEnd w:id="371"/>
      <w:bookmarkEnd w:id="372"/>
      <w:bookmarkEnd w:id="373"/>
      <w:bookmarkEnd w:id="374"/>
      <w:bookmarkEnd w:id="375"/>
      <w:bookmarkEnd w:id="376"/>
      <w:bookmarkEnd w:id="377"/>
      <w:bookmarkEnd w:id="378"/>
      <w:bookmarkEnd w:id="379"/>
    </w:p>
    <w:p w14:paraId="7FAA3FDA">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380" w:name="_Toc149206259"/>
      <w:bookmarkStart w:id="381" w:name="_Toc34814211"/>
      <w:bookmarkStart w:id="382" w:name="_Toc152042339"/>
      <w:bookmarkStart w:id="383" w:name="_Toc34744581"/>
      <w:bookmarkStart w:id="384" w:name="_Toc27986244"/>
      <w:bookmarkStart w:id="385" w:name="_Toc152045563"/>
      <w:bookmarkStart w:id="386" w:name="_Toc149206111"/>
      <w:bookmarkStart w:id="387" w:name="_Toc11769"/>
      <w:bookmarkStart w:id="388" w:name="_Toc144974531"/>
      <w:bookmarkStart w:id="389" w:name="_Toc28794"/>
      <w:r>
        <w:rPr>
          <w:rFonts w:hint="eastAsia" w:ascii="宋体" w:hAnsi="宋体" w:eastAsia="宋体"/>
          <w:color w:val="000000" w:themeColor="text1"/>
          <w14:textFill>
            <w14:solidFill>
              <w14:schemeClr w14:val="tx1"/>
            </w14:solidFill>
          </w14:textFill>
        </w:rPr>
        <w:t>6.1 评标委员会</w:t>
      </w:r>
      <w:bookmarkEnd w:id="380"/>
      <w:bookmarkEnd w:id="381"/>
      <w:bookmarkEnd w:id="382"/>
      <w:bookmarkEnd w:id="383"/>
      <w:bookmarkEnd w:id="384"/>
      <w:bookmarkEnd w:id="385"/>
      <w:bookmarkEnd w:id="386"/>
      <w:bookmarkEnd w:id="387"/>
      <w:bookmarkEnd w:id="388"/>
      <w:bookmarkEnd w:id="389"/>
    </w:p>
    <w:p w14:paraId="38FE3352">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6.1.1 评标由招标人依规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BE8BEA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6.1.2 评标委员会成员有下列情形之一的，应当回避：</w:t>
      </w:r>
    </w:p>
    <w:p w14:paraId="1C720E63">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（1）招标人或投标人的主要负责人的近亲属；</w:t>
      </w:r>
    </w:p>
    <w:p w14:paraId="36AE908C">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（2）项目主管部门或者行政监督部门的人员；</w:t>
      </w:r>
    </w:p>
    <w:p w14:paraId="5719D60F">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（3）与投标人有经济利益关系，可能影响对投标公正评审的；</w:t>
      </w:r>
    </w:p>
    <w:p w14:paraId="594F1C4F">
      <w:pPr>
        <w:spacing w:line="360" w:lineRule="auto"/>
        <w:ind w:firstLine="718" w:firstLineChars="342"/>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（4）曾因在招标、评标以及其他与招标投标有关活动中从事违法行为而受过行政处罚或刑事处罚的。</w:t>
      </w:r>
    </w:p>
    <w:p w14:paraId="36ED3685">
      <w:pPr>
        <w:pStyle w:val="24"/>
        <w:tabs>
          <w:tab w:val="left" w:pos="2620"/>
        </w:tabs>
        <w:spacing w:line="360" w:lineRule="auto"/>
        <w:contextualSpacing/>
        <w:outlineLvl w:val="0"/>
        <w:rPr>
          <w:rFonts w:hint="eastAsia" w:ascii="宋体" w:hAnsi="宋体" w:eastAsia="宋体"/>
          <w:color w:val="000000" w:themeColor="text1"/>
          <w14:textFill>
            <w14:solidFill>
              <w14:schemeClr w14:val="tx1"/>
            </w14:solidFill>
          </w14:textFill>
        </w:rPr>
      </w:pPr>
      <w:bookmarkStart w:id="390" w:name="_Toc34814212"/>
      <w:bookmarkStart w:id="391" w:name="_Toc149206112"/>
      <w:bookmarkStart w:id="392" w:name="_Toc34744582"/>
      <w:bookmarkStart w:id="393" w:name="_Toc152045564"/>
      <w:bookmarkStart w:id="394" w:name="_Toc144974532"/>
      <w:bookmarkStart w:id="395" w:name="_Toc4132"/>
      <w:bookmarkStart w:id="396" w:name="_Toc149206260"/>
      <w:bookmarkStart w:id="397" w:name="_Toc8619"/>
      <w:bookmarkStart w:id="398" w:name="_Toc152042340"/>
      <w:bookmarkStart w:id="399" w:name="_Toc27986245"/>
      <w:r>
        <w:rPr>
          <w:rFonts w:hint="eastAsia" w:ascii="宋体" w:hAnsi="宋体" w:eastAsia="宋体"/>
          <w:color w:val="000000" w:themeColor="text1"/>
          <w14:textFill>
            <w14:solidFill>
              <w14:schemeClr w14:val="tx1"/>
            </w14:solidFill>
          </w14:textFill>
        </w:rPr>
        <w:t>6.2 评标原则</w:t>
      </w:r>
      <w:bookmarkEnd w:id="390"/>
      <w:bookmarkEnd w:id="391"/>
      <w:bookmarkEnd w:id="392"/>
      <w:bookmarkEnd w:id="393"/>
      <w:bookmarkEnd w:id="394"/>
      <w:bookmarkEnd w:id="395"/>
      <w:bookmarkEnd w:id="396"/>
      <w:bookmarkEnd w:id="397"/>
      <w:bookmarkEnd w:id="398"/>
      <w:bookmarkEnd w:id="399"/>
      <w:r>
        <w:rPr>
          <w:rFonts w:ascii="宋体" w:hAnsi="宋体" w:eastAsia="宋体"/>
          <w:color w:val="000000" w:themeColor="text1"/>
          <w14:textFill>
            <w14:solidFill>
              <w14:schemeClr w14:val="tx1"/>
            </w14:solidFill>
          </w14:textFill>
        </w:rPr>
        <w:tab/>
      </w:r>
    </w:p>
    <w:p w14:paraId="6BB42EF3">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评标活动遵循公平、公正、科学和择优的原则。</w:t>
      </w:r>
    </w:p>
    <w:p w14:paraId="5CC8453C">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00" w:name="_Toc31223"/>
      <w:bookmarkStart w:id="401" w:name="_Toc152042341"/>
      <w:bookmarkStart w:id="402" w:name="_Toc149206261"/>
      <w:bookmarkStart w:id="403" w:name="_Toc34744583"/>
      <w:bookmarkStart w:id="404" w:name="_Toc27986246"/>
      <w:bookmarkStart w:id="405" w:name="_Toc149206113"/>
      <w:bookmarkStart w:id="406" w:name="_Toc144974533"/>
      <w:bookmarkStart w:id="407" w:name="_Toc34814213"/>
      <w:bookmarkStart w:id="408" w:name="_Toc152045565"/>
      <w:bookmarkStart w:id="409" w:name="_Toc21936"/>
      <w:r>
        <w:rPr>
          <w:rFonts w:hint="eastAsia" w:ascii="宋体" w:hAnsi="宋体" w:eastAsia="宋体"/>
          <w:color w:val="000000" w:themeColor="text1"/>
          <w14:textFill>
            <w14:solidFill>
              <w14:schemeClr w14:val="tx1"/>
            </w14:solidFill>
          </w14:textFill>
        </w:rPr>
        <w:t>6.3 评标</w:t>
      </w:r>
      <w:bookmarkEnd w:id="400"/>
      <w:bookmarkEnd w:id="401"/>
      <w:bookmarkEnd w:id="402"/>
      <w:bookmarkEnd w:id="403"/>
      <w:bookmarkEnd w:id="404"/>
      <w:bookmarkEnd w:id="405"/>
      <w:bookmarkEnd w:id="406"/>
      <w:bookmarkEnd w:id="407"/>
      <w:bookmarkEnd w:id="408"/>
      <w:bookmarkEnd w:id="409"/>
    </w:p>
    <w:p w14:paraId="13C4469E">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r>
        <w:rPr>
          <w:rFonts w:hint="eastAsia" w:ascii="宋体" w:hAnsi="宋体" w:cs="宋体"/>
          <w:color w:val="000000" w:themeColor="text1"/>
          <w:kern w:val="0"/>
          <w:szCs w:val="21"/>
          <w14:textFill>
            <w14:solidFill>
              <w14:schemeClr w14:val="tx1"/>
            </w14:solidFill>
          </w14:textFill>
        </w:rPr>
        <w:t>经评标委员会评审后符合的单位只有2家时，经评标委员会认定，剩余2家仍具有竞争性的，可以继续评标。</w:t>
      </w:r>
    </w:p>
    <w:p w14:paraId="56A4A78A">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410" w:name="_Toc34814214"/>
      <w:bookmarkStart w:id="411" w:name="_Toc19448"/>
      <w:bookmarkStart w:id="412" w:name="_Toc27986247"/>
      <w:bookmarkStart w:id="413" w:name="_Toc152045566"/>
      <w:bookmarkStart w:id="414" w:name="_Toc149206262"/>
      <w:bookmarkStart w:id="415" w:name="_Toc152042342"/>
      <w:bookmarkStart w:id="416" w:name="_Toc5899"/>
      <w:bookmarkStart w:id="417" w:name="_Toc144974534"/>
      <w:bookmarkStart w:id="418" w:name="_Toc34744584"/>
      <w:r>
        <w:rPr>
          <w:rFonts w:hint="eastAsia" w:ascii="宋体" w:hAnsi="宋体"/>
          <w:color w:val="000000" w:themeColor="text1"/>
          <w14:textFill>
            <w14:solidFill>
              <w14:schemeClr w14:val="tx1"/>
            </w14:solidFill>
          </w14:textFill>
        </w:rPr>
        <w:t>7. 合同授予</w:t>
      </w:r>
      <w:bookmarkEnd w:id="410"/>
      <w:bookmarkEnd w:id="411"/>
      <w:bookmarkEnd w:id="412"/>
      <w:bookmarkEnd w:id="413"/>
      <w:bookmarkEnd w:id="414"/>
      <w:bookmarkEnd w:id="415"/>
      <w:bookmarkEnd w:id="416"/>
      <w:bookmarkEnd w:id="417"/>
      <w:bookmarkEnd w:id="418"/>
    </w:p>
    <w:p w14:paraId="15AC508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19" w:name="_Toc152042343"/>
      <w:bookmarkStart w:id="420" w:name="_Toc3650"/>
      <w:bookmarkStart w:id="421" w:name="_Toc144974535"/>
      <w:bookmarkStart w:id="422" w:name="_Toc149206263"/>
      <w:bookmarkStart w:id="423" w:name="_Toc152045567"/>
      <w:bookmarkStart w:id="424" w:name="_Toc149206115"/>
      <w:bookmarkStart w:id="425" w:name="_Toc10676"/>
      <w:bookmarkStart w:id="426" w:name="_Toc34744585"/>
      <w:bookmarkStart w:id="427" w:name="_Toc27986248"/>
      <w:bookmarkStart w:id="428" w:name="_Toc34814215"/>
      <w:r>
        <w:rPr>
          <w:rFonts w:hint="eastAsia" w:ascii="宋体" w:hAnsi="宋体" w:eastAsia="宋体"/>
          <w:color w:val="000000" w:themeColor="text1"/>
          <w14:textFill>
            <w14:solidFill>
              <w14:schemeClr w14:val="tx1"/>
            </w14:solidFill>
          </w14:textFill>
        </w:rPr>
        <w:t>7.1 定标方式</w:t>
      </w:r>
      <w:bookmarkEnd w:id="419"/>
      <w:bookmarkEnd w:id="420"/>
      <w:bookmarkEnd w:id="421"/>
      <w:bookmarkEnd w:id="422"/>
      <w:bookmarkEnd w:id="423"/>
      <w:bookmarkEnd w:id="424"/>
      <w:bookmarkEnd w:id="425"/>
      <w:bookmarkEnd w:id="426"/>
      <w:bookmarkEnd w:id="427"/>
      <w:bookmarkEnd w:id="428"/>
    </w:p>
    <w:p w14:paraId="172BE52C">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14:paraId="111F2E3D">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29" w:name="_Toc149206264"/>
      <w:bookmarkStart w:id="430" w:name="_Toc20146"/>
      <w:bookmarkStart w:id="431" w:name="_Toc152042344"/>
      <w:bookmarkStart w:id="432" w:name="_Toc34814216"/>
      <w:bookmarkStart w:id="433" w:name="_Toc27986249"/>
      <w:bookmarkStart w:id="434" w:name="_Toc144974536"/>
      <w:bookmarkStart w:id="435" w:name="_Toc11831"/>
      <w:bookmarkStart w:id="436" w:name="_Toc34744586"/>
      <w:bookmarkStart w:id="437" w:name="_Toc149206116"/>
      <w:bookmarkStart w:id="438" w:name="_Toc152045568"/>
      <w:r>
        <w:rPr>
          <w:rFonts w:hint="eastAsia" w:ascii="宋体" w:hAnsi="宋体" w:eastAsia="宋体"/>
          <w:color w:val="000000" w:themeColor="text1"/>
          <w14:textFill>
            <w14:solidFill>
              <w14:schemeClr w14:val="tx1"/>
            </w14:solidFill>
          </w14:textFill>
        </w:rPr>
        <w:t>7.2 中标通知</w:t>
      </w:r>
      <w:bookmarkEnd w:id="429"/>
      <w:bookmarkEnd w:id="430"/>
      <w:bookmarkEnd w:id="431"/>
      <w:bookmarkEnd w:id="432"/>
      <w:bookmarkEnd w:id="433"/>
      <w:bookmarkEnd w:id="434"/>
      <w:bookmarkEnd w:id="435"/>
      <w:bookmarkEnd w:id="436"/>
      <w:bookmarkEnd w:id="437"/>
      <w:bookmarkEnd w:id="438"/>
    </w:p>
    <w:p w14:paraId="276DCE2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在本章第3.3款规定的投标有效期内，招标人以书面形式向中标人发出中标通知书。</w:t>
      </w:r>
    </w:p>
    <w:p w14:paraId="423C146C">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39" w:name="_Toc34814217"/>
      <w:bookmarkStart w:id="440" w:name="_Toc22330"/>
      <w:bookmarkStart w:id="441" w:name="_Toc149206265"/>
      <w:bookmarkStart w:id="442" w:name="_Toc34744587"/>
      <w:bookmarkStart w:id="443" w:name="_Toc14548"/>
      <w:bookmarkStart w:id="444" w:name="_Toc152042345"/>
      <w:bookmarkStart w:id="445" w:name="_Toc27986250"/>
      <w:bookmarkStart w:id="446" w:name="_Toc152045569"/>
      <w:bookmarkStart w:id="447" w:name="_Toc149206117"/>
      <w:bookmarkStart w:id="448" w:name="_Toc144974537"/>
      <w:r>
        <w:rPr>
          <w:rFonts w:hint="eastAsia" w:ascii="宋体" w:hAnsi="宋体" w:eastAsia="宋体"/>
          <w:color w:val="000000" w:themeColor="text1"/>
          <w14:textFill>
            <w14:solidFill>
              <w14:schemeClr w14:val="tx1"/>
            </w14:solidFill>
          </w14:textFill>
        </w:rPr>
        <w:t>7.3 履约担保</w:t>
      </w:r>
      <w:bookmarkEnd w:id="439"/>
      <w:bookmarkEnd w:id="440"/>
      <w:bookmarkEnd w:id="441"/>
      <w:bookmarkEnd w:id="442"/>
      <w:bookmarkEnd w:id="443"/>
      <w:bookmarkEnd w:id="444"/>
      <w:bookmarkEnd w:id="445"/>
      <w:bookmarkEnd w:id="446"/>
      <w:bookmarkEnd w:id="447"/>
      <w:bookmarkEnd w:id="448"/>
    </w:p>
    <w:p w14:paraId="5EE8337B">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7B18DE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7.3.2 中标人不能按本章第7.3.1项要求提交履约担保的，视为放弃中标，其投标保证金不予退还，给招标人造成的损失超过投标保证金数额的，中标人还应当对超过部分予以赔偿。</w:t>
      </w:r>
    </w:p>
    <w:p w14:paraId="327FA741">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49" w:name="_Toc29706"/>
      <w:bookmarkStart w:id="450" w:name="_Toc149206118"/>
      <w:bookmarkStart w:id="451" w:name="_Toc152045570"/>
      <w:bookmarkStart w:id="452" w:name="_Toc27986251"/>
      <w:bookmarkStart w:id="453" w:name="_Toc152042346"/>
      <w:bookmarkStart w:id="454" w:name="_Toc149206266"/>
      <w:bookmarkStart w:id="455" w:name="_Toc34744588"/>
      <w:bookmarkStart w:id="456" w:name="_Toc13441"/>
      <w:bookmarkStart w:id="457" w:name="_Toc34814218"/>
      <w:bookmarkStart w:id="458" w:name="_Toc144974538"/>
      <w:r>
        <w:rPr>
          <w:rFonts w:hint="eastAsia" w:ascii="宋体" w:hAnsi="宋体" w:eastAsia="宋体"/>
          <w:color w:val="000000" w:themeColor="text1"/>
          <w14:textFill>
            <w14:solidFill>
              <w14:schemeClr w14:val="tx1"/>
            </w14:solidFill>
          </w14:textFill>
        </w:rPr>
        <w:t>7.4 签订合同</w:t>
      </w:r>
      <w:bookmarkEnd w:id="449"/>
      <w:bookmarkEnd w:id="450"/>
      <w:bookmarkEnd w:id="451"/>
      <w:bookmarkEnd w:id="452"/>
      <w:bookmarkEnd w:id="453"/>
      <w:bookmarkEnd w:id="454"/>
      <w:bookmarkEnd w:id="455"/>
      <w:bookmarkEnd w:id="456"/>
      <w:bookmarkEnd w:id="457"/>
      <w:bookmarkEnd w:id="458"/>
    </w:p>
    <w:p w14:paraId="10DF5C1D">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635D33D3">
      <w:pPr>
        <w:spacing w:line="360" w:lineRule="auto"/>
        <w:ind w:firstLine="420" w:firstLineChars="200"/>
        <w:contextualSpacing/>
        <w:rPr>
          <w:rFonts w:hint="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7.4.2 发出中标通知书后，招标人无正当理由拒签合同的，招标人向中标人退还投标保证金；给中标人造成损失的，还应当赔偿损失。 </w:t>
      </w:r>
    </w:p>
    <w:p w14:paraId="7E13D644">
      <w:pPr>
        <w:pStyle w:val="22"/>
        <w:spacing w:before="0" w:line="360" w:lineRule="auto"/>
        <w:contextualSpacing/>
        <w:outlineLvl w:val="0"/>
        <w:rPr>
          <w:rFonts w:hint="eastAsia" w:ascii="宋体" w:hAnsi="宋体"/>
          <w:color w:val="000000" w:themeColor="text1"/>
          <w14:textFill>
            <w14:solidFill>
              <w14:schemeClr w14:val="tx1"/>
            </w14:solidFill>
          </w14:textFill>
        </w:rPr>
      </w:pPr>
      <w:bookmarkStart w:id="459" w:name="_Toc149206267"/>
      <w:bookmarkStart w:id="460" w:name="_Toc1737"/>
      <w:bookmarkStart w:id="461" w:name="_Toc152042347"/>
      <w:bookmarkStart w:id="462" w:name="_Toc34744589"/>
      <w:bookmarkStart w:id="463" w:name="_Toc152045571"/>
      <w:bookmarkStart w:id="464" w:name="_Toc144974539"/>
      <w:bookmarkStart w:id="465" w:name="_Toc34814219"/>
      <w:bookmarkStart w:id="466" w:name="_Toc27986252"/>
      <w:bookmarkStart w:id="467" w:name="_Toc31467"/>
      <w:r>
        <w:rPr>
          <w:rFonts w:hint="eastAsia" w:ascii="宋体" w:hAnsi="宋体"/>
          <w:color w:val="000000" w:themeColor="text1"/>
          <w14:textFill>
            <w14:solidFill>
              <w14:schemeClr w14:val="tx1"/>
            </w14:solidFill>
          </w14:textFill>
        </w:rPr>
        <w:t>8. 重新招标和不再招标</w:t>
      </w:r>
      <w:bookmarkEnd w:id="459"/>
      <w:bookmarkEnd w:id="460"/>
      <w:bookmarkEnd w:id="461"/>
      <w:bookmarkEnd w:id="462"/>
      <w:bookmarkEnd w:id="463"/>
      <w:bookmarkEnd w:id="464"/>
      <w:bookmarkEnd w:id="465"/>
      <w:bookmarkEnd w:id="466"/>
      <w:bookmarkEnd w:id="467"/>
    </w:p>
    <w:p w14:paraId="0A2962A1">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有下列情况之一的，应否决此次招标：</w:t>
      </w:r>
    </w:p>
    <w:p w14:paraId="0B9851CB">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）开标时合格投标人不足三个，经认定没有达到预期的竞争性的；</w:t>
      </w:r>
    </w:p>
    <w:p w14:paraId="24FD4914">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）所有投标报价超过最高限价的；</w:t>
      </w:r>
    </w:p>
    <w:p w14:paraId="16336A0F">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）所有投标人在实质上都没有响应招标文件要求。</w:t>
      </w:r>
    </w:p>
    <w:p w14:paraId="0A1423D2">
      <w:pPr>
        <w:snapToGrid w:val="0"/>
        <w:spacing w:line="360" w:lineRule="auto"/>
        <w:ind w:firstLine="420" w:firstLineChars="200"/>
        <w:contextualSpacing/>
        <w:rPr>
          <w:rFonts w:hint="eastAsia" w:ascii="宋体" w:hAnsi="宋体"/>
          <w:color w:val="000000" w:themeColor="text1"/>
          <w14:textFill>
            <w14:solidFill>
              <w14:schemeClr w14:val="tx1"/>
            </w14:solidFill>
          </w14:textFill>
        </w:rPr>
      </w:pPr>
      <w:bookmarkStart w:id="468" w:name="_Toc152042350"/>
      <w:bookmarkStart w:id="469" w:name="_Toc34814222"/>
      <w:bookmarkStart w:id="470" w:name="_Toc144974542"/>
      <w:bookmarkStart w:id="471" w:name="_Toc27986255"/>
      <w:bookmarkStart w:id="472" w:name="_Toc152045574"/>
      <w:bookmarkStart w:id="473" w:name="_Toc34744592"/>
      <w:r>
        <w:rPr>
          <w:rFonts w:hint="eastAsia" w:ascii="宋体" w:hAnsi="宋体"/>
          <w:color w:val="000000" w:themeColor="text1"/>
          <w14:textFill>
            <w14:solidFill>
              <w14:schemeClr w14:val="tx1"/>
            </w14:solidFill>
          </w14:textFill>
        </w:rPr>
        <w:t>投标被否决后，</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对招标项目的具体要求或标准进行修订后，重新组织招标。重新招标仍不能形成有效竞争的，经</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hint="eastAsia" w:ascii="宋体" w:hAnsi="宋体"/>
          <w:color w:val="000000" w:themeColor="text1"/>
          <w14:textFill>
            <w14:solidFill>
              <w14:schemeClr w14:val="tx1"/>
            </w14:solidFill>
          </w14:textFill>
        </w:rPr>
        <w:t>内部相关审批程序后，以询比价或单一来源采购方式，确定中标人。</w:t>
      </w:r>
    </w:p>
    <w:p w14:paraId="259FE4CF">
      <w:pPr>
        <w:pStyle w:val="22"/>
        <w:spacing w:before="0" w:line="360" w:lineRule="auto"/>
        <w:contextualSpacing/>
        <w:outlineLvl w:val="0"/>
        <w:rPr>
          <w:rFonts w:hint="eastAsia" w:ascii="宋体" w:hAnsi="宋体"/>
          <w:color w:val="000000" w:themeColor="text1"/>
          <w:szCs w:val="28"/>
          <w14:textFill>
            <w14:solidFill>
              <w14:schemeClr w14:val="tx1"/>
            </w14:solidFill>
          </w14:textFill>
        </w:rPr>
      </w:pPr>
      <w:bookmarkStart w:id="474" w:name="_Toc5983"/>
      <w:bookmarkStart w:id="475" w:name="_Toc149206268"/>
      <w:r>
        <w:rPr>
          <w:rFonts w:hint="eastAsia" w:ascii="宋体" w:hAnsi="宋体"/>
          <w:color w:val="000000" w:themeColor="text1"/>
          <w14:textFill>
            <w14:solidFill>
              <w14:schemeClr w14:val="tx1"/>
            </w14:solidFill>
          </w14:textFill>
        </w:rPr>
        <w:t>9. 纪律和监督</w:t>
      </w:r>
      <w:bookmarkEnd w:id="468"/>
      <w:bookmarkEnd w:id="469"/>
      <w:bookmarkEnd w:id="470"/>
      <w:bookmarkEnd w:id="471"/>
      <w:bookmarkEnd w:id="472"/>
      <w:bookmarkEnd w:id="473"/>
      <w:bookmarkEnd w:id="474"/>
      <w:bookmarkEnd w:id="475"/>
    </w:p>
    <w:p w14:paraId="2BFF3EB1">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76" w:name="_Toc27986256"/>
      <w:bookmarkStart w:id="477" w:name="_Toc149206269"/>
      <w:bookmarkStart w:id="478" w:name="_Toc152045575"/>
      <w:bookmarkStart w:id="479" w:name="_Toc34744593"/>
      <w:bookmarkStart w:id="480" w:name="_Toc152042351"/>
      <w:bookmarkStart w:id="481" w:name="_Toc34814223"/>
      <w:bookmarkStart w:id="482" w:name="_Toc144974543"/>
      <w:bookmarkStart w:id="483" w:name="_Toc11737"/>
      <w:bookmarkStart w:id="484" w:name="_Toc5025"/>
      <w:bookmarkStart w:id="485" w:name="_Toc149206120"/>
      <w:r>
        <w:rPr>
          <w:rFonts w:hint="eastAsia" w:ascii="宋体" w:hAnsi="宋体" w:eastAsia="宋体"/>
          <w:color w:val="000000" w:themeColor="text1"/>
          <w14:textFill>
            <w14:solidFill>
              <w14:schemeClr w14:val="tx1"/>
            </w14:solidFill>
          </w14:textFill>
        </w:rPr>
        <w:t>9.1 对招标人的纪律要求</w:t>
      </w:r>
      <w:bookmarkEnd w:id="476"/>
      <w:bookmarkEnd w:id="477"/>
      <w:bookmarkEnd w:id="478"/>
      <w:bookmarkEnd w:id="479"/>
      <w:bookmarkEnd w:id="480"/>
      <w:bookmarkEnd w:id="481"/>
      <w:bookmarkEnd w:id="482"/>
      <w:bookmarkEnd w:id="483"/>
      <w:bookmarkEnd w:id="484"/>
      <w:bookmarkEnd w:id="485"/>
    </w:p>
    <w:p w14:paraId="34C1BC80">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招标人不得泄漏招标投标活动中应当保密的情况和资料，不得与投标人串通损害国家利益、社会公共利益或者他人合法权益。</w:t>
      </w:r>
    </w:p>
    <w:p w14:paraId="0191EDF7">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86" w:name="_Toc34744594"/>
      <w:bookmarkStart w:id="487" w:name="_Toc152045576"/>
      <w:bookmarkStart w:id="488" w:name="_Toc21870"/>
      <w:bookmarkStart w:id="489" w:name="_Toc152042352"/>
      <w:bookmarkStart w:id="490" w:name="_Toc27986257"/>
      <w:bookmarkStart w:id="491" w:name="_Toc149206270"/>
      <w:bookmarkStart w:id="492" w:name="_Toc34814224"/>
      <w:bookmarkStart w:id="493" w:name="_Toc2029"/>
      <w:bookmarkStart w:id="494" w:name="_Toc144974544"/>
      <w:bookmarkStart w:id="495" w:name="_Toc149206121"/>
      <w:r>
        <w:rPr>
          <w:rFonts w:hint="eastAsia" w:ascii="宋体" w:hAnsi="宋体" w:eastAsia="宋体"/>
          <w:color w:val="000000" w:themeColor="text1"/>
          <w14:textFill>
            <w14:solidFill>
              <w14:schemeClr w14:val="tx1"/>
            </w14:solidFill>
          </w14:textFill>
        </w:rPr>
        <w:t>9.2 对投标人的纪律要求</w:t>
      </w:r>
      <w:bookmarkEnd w:id="486"/>
      <w:bookmarkEnd w:id="487"/>
      <w:bookmarkEnd w:id="488"/>
      <w:bookmarkEnd w:id="489"/>
      <w:bookmarkEnd w:id="490"/>
      <w:bookmarkEnd w:id="491"/>
      <w:bookmarkEnd w:id="492"/>
      <w:bookmarkEnd w:id="493"/>
      <w:bookmarkEnd w:id="494"/>
      <w:bookmarkEnd w:id="495"/>
    </w:p>
    <w:p w14:paraId="5EFA4388">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92CEBA6">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496" w:name="_Toc144974545"/>
      <w:bookmarkStart w:id="497" w:name="_Toc149206122"/>
      <w:bookmarkStart w:id="498" w:name="_Toc149206271"/>
      <w:bookmarkStart w:id="499" w:name="_Toc6230"/>
      <w:bookmarkStart w:id="500" w:name="_Toc5631"/>
      <w:bookmarkStart w:id="501" w:name="_Toc152042353"/>
      <w:bookmarkStart w:id="502" w:name="_Toc34814225"/>
      <w:bookmarkStart w:id="503" w:name="_Toc27986258"/>
      <w:bookmarkStart w:id="504" w:name="_Toc152045577"/>
      <w:bookmarkStart w:id="505" w:name="_Toc34744595"/>
      <w:r>
        <w:rPr>
          <w:rFonts w:hint="eastAsia" w:ascii="宋体" w:hAnsi="宋体" w:eastAsia="宋体"/>
          <w:color w:val="000000" w:themeColor="text1"/>
          <w14:textFill>
            <w14:solidFill>
              <w14:schemeClr w14:val="tx1"/>
            </w14:solidFill>
          </w14:textFill>
        </w:rPr>
        <w:t>9.3 对评标委员会成员的纪律要求</w:t>
      </w:r>
      <w:bookmarkEnd w:id="496"/>
      <w:bookmarkEnd w:id="497"/>
      <w:bookmarkEnd w:id="498"/>
      <w:bookmarkEnd w:id="499"/>
      <w:bookmarkEnd w:id="500"/>
      <w:bookmarkEnd w:id="501"/>
      <w:bookmarkEnd w:id="502"/>
      <w:bookmarkEnd w:id="503"/>
      <w:bookmarkEnd w:id="504"/>
      <w:bookmarkEnd w:id="505"/>
    </w:p>
    <w:p w14:paraId="0B93EEA4">
      <w:pPr>
        <w:spacing w:line="360" w:lineRule="auto"/>
        <w:ind w:firstLine="420" w:firstLineChars="200"/>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DD17EB2">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06" w:name="_Toc30811"/>
      <w:bookmarkStart w:id="507" w:name="_Toc152042354"/>
      <w:bookmarkStart w:id="508" w:name="_Toc149206123"/>
      <w:bookmarkStart w:id="509" w:name="_Toc34744596"/>
      <w:bookmarkStart w:id="510" w:name="_Toc34814226"/>
      <w:bookmarkStart w:id="511" w:name="_Toc152045578"/>
      <w:bookmarkStart w:id="512" w:name="_Toc27986259"/>
      <w:bookmarkStart w:id="513" w:name="_Toc149206272"/>
      <w:bookmarkStart w:id="514" w:name="_Toc13019"/>
      <w:bookmarkStart w:id="515" w:name="_Toc144974546"/>
      <w:r>
        <w:rPr>
          <w:rFonts w:hint="eastAsia" w:ascii="宋体" w:hAnsi="宋体" w:eastAsia="宋体"/>
          <w:color w:val="000000" w:themeColor="text1"/>
          <w14:textFill>
            <w14:solidFill>
              <w14:schemeClr w14:val="tx1"/>
            </w14:solidFill>
          </w14:textFill>
        </w:rPr>
        <w:t>9.4 对与评标活动有关的工作人员的纪律要求</w:t>
      </w:r>
      <w:bookmarkEnd w:id="506"/>
      <w:bookmarkEnd w:id="507"/>
      <w:bookmarkEnd w:id="508"/>
      <w:bookmarkEnd w:id="509"/>
      <w:bookmarkEnd w:id="510"/>
      <w:bookmarkEnd w:id="511"/>
      <w:bookmarkEnd w:id="512"/>
      <w:bookmarkEnd w:id="513"/>
      <w:bookmarkEnd w:id="514"/>
    </w:p>
    <w:p w14:paraId="122F2A57">
      <w:pPr>
        <w:spacing w:line="360" w:lineRule="auto"/>
        <w:ind w:firstLine="420" w:firstLineChars="200"/>
        <w:contextualSpacing/>
        <w:rPr>
          <w:rFonts w:hint="eastAsia" w:ascii="宋体" w:hAnsi="宋体"/>
          <w:color w:val="000000" w:themeColor="text1"/>
          <w14:textFill>
            <w14:solidFill>
              <w14:schemeClr w14:val="tx1"/>
            </w14:solidFill>
          </w14:textFill>
        </w:rPr>
      </w:pPr>
      <w:bookmarkStart w:id="516" w:name="_Toc152042355"/>
      <w:r>
        <w:rPr>
          <w:rFonts w:hint="eastAsia" w:ascii="宋体" w:hAnsi="宋体"/>
          <w:color w:val="000000" w:themeColor="text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16"/>
    </w:p>
    <w:p w14:paraId="66D70EA8">
      <w:pPr>
        <w:pStyle w:val="24"/>
        <w:spacing w:line="360" w:lineRule="auto"/>
        <w:contextualSpacing/>
        <w:outlineLvl w:val="0"/>
        <w:rPr>
          <w:rFonts w:hint="eastAsia" w:ascii="宋体" w:hAnsi="宋体" w:eastAsia="宋体"/>
          <w:color w:val="000000" w:themeColor="text1"/>
          <w14:textFill>
            <w14:solidFill>
              <w14:schemeClr w14:val="tx1"/>
            </w14:solidFill>
          </w14:textFill>
        </w:rPr>
      </w:pPr>
      <w:bookmarkStart w:id="517" w:name="_Toc18693"/>
      <w:bookmarkStart w:id="518" w:name="_Toc152045579"/>
      <w:bookmarkStart w:id="519" w:name="_Toc152042356"/>
      <w:bookmarkStart w:id="520" w:name="_Toc34744597"/>
      <w:bookmarkStart w:id="521" w:name="_Toc830"/>
      <w:bookmarkStart w:id="522" w:name="_Toc27986260"/>
      <w:bookmarkStart w:id="523" w:name="_Toc34814227"/>
      <w:bookmarkStart w:id="524" w:name="_Toc149206273"/>
      <w:bookmarkStart w:id="525" w:name="_Toc149206124"/>
      <w:r>
        <w:rPr>
          <w:rFonts w:hint="eastAsia" w:ascii="宋体" w:hAnsi="宋体" w:eastAsia="宋体"/>
          <w:color w:val="000000" w:themeColor="text1"/>
          <w14:textFill>
            <w14:solidFill>
              <w14:schemeClr w14:val="tx1"/>
            </w14:solidFill>
          </w14:textFill>
        </w:rPr>
        <w:t>9.5 投诉</w:t>
      </w:r>
      <w:bookmarkEnd w:id="515"/>
      <w:bookmarkEnd w:id="517"/>
      <w:bookmarkEnd w:id="518"/>
      <w:bookmarkEnd w:id="519"/>
      <w:bookmarkEnd w:id="520"/>
      <w:bookmarkEnd w:id="521"/>
      <w:bookmarkEnd w:id="522"/>
      <w:bookmarkEnd w:id="523"/>
      <w:bookmarkEnd w:id="524"/>
      <w:bookmarkEnd w:id="525"/>
    </w:p>
    <w:p w14:paraId="3BDA9EC9">
      <w:pPr>
        <w:spacing w:line="400" w:lineRule="exact"/>
        <w:ind w:firstLine="42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投标人或者其他利害关系人认为招标投标活动不符合</w:t>
      </w:r>
      <w:r>
        <w:rPr>
          <w:rFonts w:hint="eastAsia" w:ascii="宋体" w:hAnsi="宋体"/>
          <w:color w:val="000000" w:themeColor="text1"/>
          <w:lang w:val="en-US" w:eastAsia="zh-CN"/>
          <w14:textFill>
            <w14:solidFill>
              <w14:schemeClr w14:val="tx1"/>
            </w14:solidFill>
          </w14:textFill>
        </w:rPr>
        <w:t>温州市市政工程工程建设开发有限公司</w:t>
      </w:r>
      <w:r>
        <w:rPr>
          <w:rFonts w:ascii="Arial" w:hAnsi="Arial" w:cs="Arial"/>
          <w:color w:val="000000" w:themeColor="text1"/>
          <w14:textFill>
            <w14:solidFill>
              <w14:schemeClr w14:val="tx1"/>
            </w14:solidFill>
          </w14:textFill>
        </w:rPr>
        <w:t>内部招标采购相关规定的，可以向招标人纪检监察部门投诉。投诉应当有明确的请求和必要的证明材料。</w:t>
      </w:r>
      <w:bookmarkStart w:id="526" w:name="_Toc152045580"/>
      <w:bookmarkStart w:id="527" w:name="_Toc27986261"/>
      <w:bookmarkStart w:id="528" w:name="_Toc144974547"/>
      <w:bookmarkStart w:id="529" w:name="_Toc152042357"/>
      <w:bookmarkStart w:id="530" w:name="_Toc34744598"/>
      <w:bookmarkStart w:id="531" w:name="_Toc26380"/>
      <w:bookmarkStart w:id="532" w:name="_Toc34814228"/>
    </w:p>
    <w:p w14:paraId="3E31F899">
      <w:pPr>
        <w:pStyle w:val="22"/>
        <w:spacing w:before="0" w:line="360" w:lineRule="auto"/>
        <w:contextualSpacing/>
        <w:outlineLvl w:val="0"/>
        <w:rPr>
          <w:rFonts w:hint="eastAsia" w:ascii="宋体" w:hAnsi="宋体"/>
          <w:color w:val="000000" w:themeColor="text1"/>
          <w:sz w:val="24"/>
          <w:szCs w:val="24"/>
          <w14:textFill>
            <w14:solidFill>
              <w14:schemeClr w14:val="tx1"/>
            </w14:solidFill>
          </w14:textFill>
        </w:rPr>
      </w:pPr>
      <w:bookmarkStart w:id="533" w:name="_Toc1433"/>
      <w:bookmarkStart w:id="534" w:name="_Toc149206274"/>
      <w:r>
        <w:rPr>
          <w:rFonts w:hint="eastAsia" w:ascii="宋体" w:hAnsi="宋体"/>
          <w:color w:val="000000" w:themeColor="text1"/>
          <w:sz w:val="24"/>
          <w:szCs w:val="24"/>
          <w14:textFill>
            <w14:solidFill>
              <w14:schemeClr w14:val="tx1"/>
            </w14:solidFill>
          </w14:textFill>
        </w:rPr>
        <w:t>10. 需要补充的其他内容</w:t>
      </w:r>
      <w:bookmarkEnd w:id="526"/>
      <w:bookmarkEnd w:id="527"/>
      <w:bookmarkEnd w:id="528"/>
      <w:bookmarkEnd w:id="529"/>
      <w:bookmarkEnd w:id="530"/>
      <w:bookmarkEnd w:id="531"/>
      <w:bookmarkEnd w:id="532"/>
      <w:bookmarkEnd w:id="533"/>
      <w:bookmarkEnd w:id="534"/>
    </w:p>
    <w:p w14:paraId="7150408A">
      <w:pPr>
        <w:pStyle w:val="24"/>
        <w:textAlignment w:val="center"/>
        <w:rPr>
          <w:rFonts w:hint="eastAsia" w:ascii="宋体" w:hAnsi="宋体" w:eastAsia="宋体"/>
          <w:color w:val="000000" w:themeColor="text1"/>
          <w14:textFill>
            <w14:solidFill>
              <w14:schemeClr w14:val="tx1"/>
            </w14:solidFill>
          </w14:textFill>
        </w:rPr>
      </w:pPr>
      <w:bookmarkStart w:id="535" w:name="_Toc1986"/>
      <w:bookmarkStart w:id="536" w:name="_Toc16086"/>
      <w:bookmarkStart w:id="537" w:name="_Toc149206275"/>
      <w:bookmarkStart w:id="538" w:name="_Toc14337"/>
      <w:bookmarkStart w:id="539" w:name="_Toc10926"/>
      <w:bookmarkStart w:id="540" w:name="_Toc527143498"/>
      <w:r>
        <w:rPr>
          <w:rFonts w:hint="eastAsia" w:ascii="宋体" w:hAnsi="宋体" w:eastAsia="宋体"/>
          <w:color w:val="000000" w:themeColor="text1"/>
          <w14:textFill>
            <w14:solidFill>
              <w14:schemeClr w14:val="tx1"/>
            </w14:solidFill>
          </w14:textFill>
        </w:rPr>
        <w:t>10.1解释权</w:t>
      </w:r>
      <w:bookmarkEnd w:id="535"/>
      <w:bookmarkEnd w:id="536"/>
      <w:bookmarkEnd w:id="537"/>
      <w:bookmarkEnd w:id="538"/>
      <w:bookmarkEnd w:id="539"/>
      <w:bookmarkEnd w:id="540"/>
    </w:p>
    <w:p w14:paraId="043607DA">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构成招标文件组成部分的“合同通用条款”、“合同专用条款”、“技术标准和要求”和“工程量清单”等章节中出现的措辞“</w:t>
      </w:r>
      <w:r>
        <w:rPr>
          <w:rFonts w:hint="eastAsia" w:ascii="Arial" w:hAnsi="Arial" w:cs="Arial"/>
          <w:color w:val="000000" w:themeColor="text1"/>
          <w14:textFill>
            <w14:solidFill>
              <w14:schemeClr w14:val="tx1"/>
            </w14:solidFill>
          </w14:textFill>
        </w:rPr>
        <w:t>承包人</w:t>
      </w:r>
      <w:r>
        <w:rPr>
          <w:rFonts w:ascii="Arial" w:hAnsi="Arial" w:cs="Arial"/>
          <w:color w:val="000000" w:themeColor="text1"/>
          <w14:textFill>
            <w14:solidFill>
              <w14:schemeClr w14:val="tx1"/>
            </w14:solidFill>
          </w14:textFill>
        </w:rPr>
        <w:t>”和“</w:t>
      </w:r>
      <w:r>
        <w:rPr>
          <w:rFonts w:hint="eastAsia" w:ascii="Arial" w:hAnsi="Arial" w:cs="Arial"/>
          <w:color w:val="000000" w:themeColor="text1"/>
          <w14:textFill>
            <w14:solidFill>
              <w14:schemeClr w14:val="tx1"/>
            </w14:solidFill>
          </w14:textFill>
        </w:rPr>
        <w:t>分包人</w:t>
      </w:r>
      <w:r>
        <w:rPr>
          <w:rFonts w:ascii="Arial" w:hAnsi="Arial" w:cs="Arial"/>
          <w:color w:val="000000" w:themeColor="text1"/>
          <w14:textFill>
            <w14:solidFill>
              <w14:schemeClr w14:val="tx1"/>
            </w14:solidFill>
          </w14:textFill>
        </w:rPr>
        <w:t>”，在招标投标阶段应当分别按“招标人”和“投标人”进行理解。</w:t>
      </w:r>
    </w:p>
    <w:p w14:paraId="79DEFEA1">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构成本招标文件的各个组成文件应互为解释，互为说明；如有不明确或不一致，构成合同文件组成内容的，以合同文件约定内容为准，且以合同专用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70CDB0A1">
      <w:pPr>
        <w:pStyle w:val="24"/>
        <w:textAlignment w:val="center"/>
        <w:rPr>
          <w:rFonts w:hint="eastAsia" w:ascii="宋体" w:hAnsi="宋体" w:eastAsia="宋体"/>
          <w:color w:val="000000" w:themeColor="text1"/>
          <w14:textFill>
            <w14:solidFill>
              <w14:schemeClr w14:val="tx1"/>
            </w14:solidFill>
          </w14:textFill>
        </w:rPr>
      </w:pPr>
      <w:bookmarkStart w:id="541" w:name="_Toc149206276"/>
      <w:bookmarkStart w:id="542" w:name="_Toc22407"/>
      <w:bookmarkStart w:id="543" w:name="_Toc14640"/>
      <w:bookmarkStart w:id="544" w:name="_Toc14191"/>
      <w:bookmarkStart w:id="545" w:name="_Toc6622"/>
      <w:bookmarkStart w:id="546" w:name="_Toc527143501"/>
      <w:r>
        <w:rPr>
          <w:rFonts w:hint="eastAsia" w:ascii="宋体" w:hAnsi="宋体" w:eastAsia="宋体"/>
          <w:color w:val="000000" w:themeColor="text1"/>
          <w14:textFill>
            <w14:solidFill>
              <w14:schemeClr w14:val="tx1"/>
            </w14:solidFill>
          </w14:textFill>
        </w:rPr>
        <w:t>10.2投标人信誉要求</w:t>
      </w:r>
      <w:bookmarkEnd w:id="541"/>
      <w:bookmarkEnd w:id="542"/>
      <w:bookmarkEnd w:id="543"/>
      <w:bookmarkEnd w:id="544"/>
      <w:bookmarkEnd w:id="545"/>
      <w:bookmarkEnd w:id="546"/>
    </w:p>
    <w:p w14:paraId="769CA757">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在投标截止时间当日投标人没有被投标人须知前附表规定的相关行业主管部门限制参加投标。在投标截止时间当日投标人没有被投标人须知前附表规定的相关行业主管部门已经确认并公示（或发布）的正处于公示（或发布）期间的不良行为记录。</w:t>
      </w:r>
    </w:p>
    <w:p w14:paraId="15018B74">
      <w:pPr>
        <w:spacing w:line="400" w:lineRule="exact"/>
        <w:ind w:firstLine="420" w:firstLineChars="200"/>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（2）投标人发生合并、分立、破产等重大变化的，应当及时书面告知招标人。投标人不再具备招标文件规定的资格条件或者其投标影响招标公正性的，其投标无效。</w:t>
      </w:r>
    </w:p>
    <w:p w14:paraId="6BA53AC0">
      <w:pPr>
        <w:pStyle w:val="24"/>
        <w:textAlignment w:val="center"/>
        <w:rPr>
          <w:rFonts w:hint="eastAsia" w:ascii="宋体" w:hAnsi="宋体" w:eastAsia="宋体"/>
          <w:color w:val="000000" w:themeColor="text1"/>
          <w14:textFill>
            <w14:solidFill>
              <w14:schemeClr w14:val="tx1"/>
            </w14:solidFill>
          </w14:textFill>
        </w:rPr>
      </w:pPr>
      <w:bookmarkStart w:id="547" w:name="_Toc527143503"/>
      <w:bookmarkStart w:id="548" w:name="_Toc29758"/>
      <w:bookmarkStart w:id="549" w:name="_Toc23518"/>
      <w:bookmarkStart w:id="550" w:name="_Toc19948"/>
      <w:bookmarkStart w:id="551" w:name="_Toc149206277"/>
      <w:bookmarkStart w:id="552" w:name="_Toc7441"/>
      <w:r>
        <w:rPr>
          <w:rFonts w:hint="eastAsia" w:ascii="宋体" w:hAnsi="宋体" w:eastAsia="宋体"/>
          <w:color w:val="000000" w:themeColor="text1"/>
          <w14:textFill>
            <w14:solidFill>
              <w14:schemeClr w14:val="tx1"/>
            </w14:solidFill>
          </w14:textFill>
        </w:rPr>
        <w:t>10.</w:t>
      </w:r>
      <w:bookmarkEnd w:id="547"/>
      <w:bookmarkStart w:id="553" w:name="_Toc527143505"/>
      <w:r>
        <w:rPr>
          <w:rFonts w:hint="eastAsia" w:ascii="宋体" w:hAnsi="宋体" w:eastAsia="宋体"/>
          <w:color w:val="000000" w:themeColor="text1"/>
          <w14:textFill>
            <w14:solidFill>
              <w14:schemeClr w14:val="tx1"/>
            </w14:solidFill>
          </w14:textFill>
        </w:rPr>
        <w:t>3投标人不得存在的其他情形</w:t>
      </w:r>
      <w:bookmarkEnd w:id="553"/>
      <w:r>
        <w:rPr>
          <w:rFonts w:hint="eastAsia" w:ascii="宋体" w:hAnsi="宋体" w:eastAsia="宋体"/>
          <w:color w:val="000000" w:themeColor="text1"/>
          <w14:textFill>
            <w14:solidFill>
              <w14:schemeClr w14:val="tx1"/>
            </w14:solidFill>
          </w14:textFill>
        </w:rPr>
        <w:t>（补充）</w:t>
      </w:r>
      <w:bookmarkEnd w:id="548"/>
      <w:bookmarkEnd w:id="549"/>
      <w:bookmarkEnd w:id="550"/>
      <w:bookmarkEnd w:id="551"/>
      <w:bookmarkEnd w:id="552"/>
    </w:p>
    <w:p w14:paraId="562E9D2C">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（1）投标人之间协商投标报价等投标文件的实质性内容；</w:t>
      </w:r>
    </w:p>
    <w:p w14:paraId="79EAE519">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（2）投标人之间约定中标人；</w:t>
      </w:r>
    </w:p>
    <w:p w14:paraId="3254564C">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（3）投标人之间约定部分投标人放弃投标或者中标；</w:t>
      </w:r>
    </w:p>
    <w:p w14:paraId="78DAEAFD">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（4）属于同一集团、协会、商会等组织成员的投标人按照该组织要求协同投标；</w:t>
      </w:r>
    </w:p>
    <w:p w14:paraId="3936DCB0">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（5）投标人之间为谋取中标或者排斥特定投标人而采取的其他联合行动。</w:t>
      </w:r>
    </w:p>
    <w:p w14:paraId="25F45A27">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（6）不同投标人的投标文件由同一单位或者个人编制；</w:t>
      </w:r>
    </w:p>
    <w:p w14:paraId="6B6D4019">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（7）不同投标人委托同一单位或者个人办理投标事宜；</w:t>
      </w:r>
    </w:p>
    <w:p w14:paraId="3F71981A">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（8）不同投标人的投标文件载明的项目管理成员为同一人；</w:t>
      </w:r>
    </w:p>
    <w:p w14:paraId="37DE9B1C">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不同投标人的投标文件异常一致或者投标报价呈规律性差异（投标文件雷同性部分达80%以上的）</w:t>
      </w:r>
      <w:r>
        <w:rPr>
          <w:rFonts w:ascii="Arial" w:hAnsi="Arial" w:cs="Arial"/>
          <w:color w:val="000000" w:themeColor="text1"/>
          <w14:textFill>
            <w14:solidFill>
              <w14:schemeClr w14:val="tx1"/>
            </w14:solidFill>
          </w14:textFill>
        </w:rPr>
        <w:t>；</w:t>
      </w:r>
    </w:p>
    <w:p w14:paraId="28F36F53">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（10）不同投标人的投标文件相互混装；</w:t>
      </w:r>
    </w:p>
    <w:p w14:paraId="3DDD3E6F">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（11）不同投标人的投标</w:t>
      </w:r>
      <w:r>
        <w:rPr>
          <w:rFonts w:hint="eastAsia" w:ascii="Arial" w:hAnsi="Arial" w:cs="Arial"/>
          <w:color w:val="000000" w:themeColor="text1"/>
          <w14:textFill>
            <w14:solidFill>
              <w14:schemeClr w14:val="tx1"/>
            </w14:solidFill>
          </w14:textFill>
        </w:rPr>
        <w:t>保证</w:t>
      </w:r>
      <w:r>
        <w:rPr>
          <w:rFonts w:ascii="Arial" w:hAnsi="Arial" w:cs="Arial"/>
          <w:color w:val="000000" w:themeColor="text1"/>
          <w14:textFill>
            <w14:solidFill>
              <w14:schemeClr w14:val="tx1"/>
            </w14:solidFill>
          </w14:textFill>
        </w:rPr>
        <w:t>金从同一单位或者个人的账户转出；</w:t>
      </w:r>
    </w:p>
    <w:p w14:paraId="76B0F402">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（12）招标人在开标前开启投标文件并将有关信息泄露给其他投标人；</w:t>
      </w:r>
    </w:p>
    <w:p w14:paraId="4F989D60">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（13）招标人直接或者间接向投标人泄露标底、评标委员会成员等信息；</w:t>
      </w:r>
    </w:p>
    <w:p w14:paraId="296CF72C">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（14）招标人明示或者暗示投标人压低或者抬高投标报价；</w:t>
      </w:r>
    </w:p>
    <w:p w14:paraId="454D9E4F">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（15）招标人授意投标人撤换、修改投标文件；</w:t>
      </w:r>
    </w:p>
    <w:p w14:paraId="39361B4C">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（16）招标人明示或者暗示投标人为特定投标人中标提供方便；</w:t>
      </w:r>
    </w:p>
    <w:p w14:paraId="04F784C8">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（17）招标人与投标人为谋求特定投标人中标而采取的其他串通行为；</w:t>
      </w:r>
    </w:p>
    <w:p w14:paraId="1C6DBACC">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（18）使用通过受让或者租借等方式获取的资格、资质证书投标的，属于以他人名义投标。</w:t>
      </w:r>
    </w:p>
    <w:p w14:paraId="394D4D18">
      <w:pPr>
        <w:snapToGrid w:val="0"/>
        <w:spacing w:line="400" w:lineRule="exact"/>
        <w:ind w:firstLine="420" w:firstLineChars="200"/>
        <w:jc w:val="left"/>
        <w:textAlignment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（19）投标人有下列情形之一的，属于以其他方式弄虚作假的行为：</w:t>
      </w:r>
    </w:p>
    <w:p w14:paraId="39917E76">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①</w:t>
      </w:r>
      <w:r>
        <w:rPr>
          <w:rFonts w:ascii="Arial" w:hAnsi="Arial" w:cs="Arial"/>
          <w:color w:val="000000" w:themeColor="text1"/>
          <w14:textFill>
            <w14:solidFill>
              <w14:schemeClr w14:val="tx1"/>
            </w14:solidFill>
          </w14:textFill>
        </w:rPr>
        <w:t>使用伪造、变造的许可证件；</w:t>
      </w:r>
    </w:p>
    <w:p w14:paraId="64990C47">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②</w:t>
      </w:r>
      <w:r>
        <w:rPr>
          <w:rFonts w:ascii="Arial" w:hAnsi="Arial" w:cs="Arial"/>
          <w:color w:val="000000" w:themeColor="text1"/>
          <w14:textFill>
            <w14:solidFill>
              <w14:schemeClr w14:val="tx1"/>
            </w14:solidFill>
          </w14:textFill>
        </w:rPr>
        <w:t>提供虚假的财务状况或者业绩；</w:t>
      </w:r>
    </w:p>
    <w:p w14:paraId="3728B5C6">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③</w:t>
      </w:r>
      <w:r>
        <w:rPr>
          <w:rFonts w:ascii="Arial" w:hAnsi="Arial" w:cs="Arial"/>
          <w:color w:val="000000" w:themeColor="text1"/>
          <w14:textFill>
            <w14:solidFill>
              <w14:schemeClr w14:val="tx1"/>
            </w14:solidFill>
          </w14:textFill>
        </w:rPr>
        <w:t>提供虚假的项目经理或者主要技术人员简历、劳动关系证明；</w:t>
      </w:r>
    </w:p>
    <w:p w14:paraId="05F90AB8">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④</w:t>
      </w:r>
      <w:r>
        <w:rPr>
          <w:rFonts w:ascii="Arial" w:hAnsi="Arial" w:cs="Arial"/>
          <w:color w:val="000000" w:themeColor="text1"/>
          <w14:textFill>
            <w14:solidFill>
              <w14:schemeClr w14:val="tx1"/>
            </w14:solidFill>
          </w14:textFill>
        </w:rPr>
        <w:t>提供虚假的信用状况；</w:t>
      </w:r>
    </w:p>
    <w:p w14:paraId="113171F7">
      <w:pPr>
        <w:snapToGrid w:val="0"/>
        <w:spacing w:line="400" w:lineRule="exact"/>
        <w:ind w:firstLine="630" w:firstLineChars="300"/>
        <w:jc w:val="left"/>
        <w:textAlignment w:val="center"/>
        <w:rPr>
          <w:rFonts w:ascii="Arial" w:hAnsi="Arial"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⑤</w:t>
      </w:r>
      <w:r>
        <w:rPr>
          <w:rFonts w:ascii="Arial" w:hAnsi="Arial" w:cs="Arial"/>
          <w:color w:val="000000" w:themeColor="text1"/>
          <w14:textFill>
            <w14:solidFill>
              <w14:schemeClr w14:val="tx1"/>
            </w14:solidFill>
          </w14:textFill>
        </w:rPr>
        <w:t>其他弄虚作假的行为。</w:t>
      </w:r>
    </w:p>
    <w:p w14:paraId="70750E6C">
      <w:pPr>
        <w:pStyle w:val="24"/>
        <w:textAlignment w:val="center"/>
        <w:rPr>
          <w:rFonts w:hint="eastAsia" w:ascii="宋体" w:hAnsi="宋体" w:eastAsia="宋体"/>
          <w:color w:val="000000" w:themeColor="text1"/>
          <w14:textFill>
            <w14:solidFill>
              <w14:schemeClr w14:val="tx1"/>
            </w14:solidFill>
          </w14:textFill>
        </w:rPr>
      </w:pPr>
      <w:bookmarkStart w:id="554" w:name="_Toc3556"/>
      <w:bookmarkStart w:id="555" w:name="_Toc149206278"/>
      <w:bookmarkStart w:id="556" w:name="_Toc27009"/>
      <w:bookmarkStart w:id="557" w:name="_Toc27940"/>
      <w:bookmarkStart w:id="558" w:name="_Toc4718"/>
      <w:r>
        <w:rPr>
          <w:rFonts w:hint="eastAsia" w:ascii="宋体" w:hAnsi="宋体" w:eastAsia="宋体"/>
          <w:color w:val="000000" w:themeColor="text1"/>
          <w14:textFill>
            <w14:solidFill>
              <w14:schemeClr w14:val="tx1"/>
            </w14:solidFill>
          </w14:textFill>
        </w:rPr>
        <w:t>10.4招标人补充的其他内容</w:t>
      </w:r>
      <w:bookmarkEnd w:id="554"/>
      <w:bookmarkEnd w:id="555"/>
      <w:bookmarkEnd w:id="556"/>
      <w:bookmarkEnd w:id="557"/>
      <w:bookmarkEnd w:id="558"/>
    </w:p>
    <w:p w14:paraId="2F5A5126">
      <w:pPr>
        <w:pStyle w:val="24"/>
        <w:textAlignment w:val="center"/>
        <w:rPr>
          <w:rFonts w:hint="eastAsia" w:ascii="宋体" w:hAnsi="宋体" w:eastAsia="宋体" w:cs="宋体"/>
          <w:color w:val="000000" w:themeColor="text1"/>
          <w14:textFill>
            <w14:solidFill>
              <w14:schemeClr w14:val="tx1"/>
            </w14:solidFill>
          </w14:textFill>
        </w:rPr>
      </w:pPr>
      <w:bookmarkStart w:id="559" w:name="_Toc14162"/>
      <w:bookmarkStart w:id="560" w:name="_Toc149206279"/>
      <w:r>
        <w:rPr>
          <w:rFonts w:hint="eastAsia" w:ascii="宋体" w:hAnsi="宋体" w:eastAsia="宋体" w:cs="宋体"/>
          <w:color w:val="000000" w:themeColor="text1"/>
          <w14:textFill>
            <w14:solidFill>
              <w14:schemeClr w14:val="tx1"/>
            </w14:solidFill>
          </w14:textFill>
        </w:rPr>
        <w:t>见须知前附表。</w:t>
      </w:r>
      <w:bookmarkEnd w:id="559"/>
      <w:bookmarkEnd w:id="560"/>
    </w:p>
    <w:p w14:paraId="660CBFD4">
      <w:pPr>
        <w:spacing w:line="360" w:lineRule="auto"/>
        <w:contextualSpacing/>
        <w:rPr>
          <w:rFonts w:hint="eastAsia" w:ascii="宋体" w:hAnsi="宋体"/>
          <w:color w:val="000000" w:themeColor="text1"/>
          <w14:textFill>
            <w14:solidFill>
              <w14:schemeClr w14:val="tx1"/>
            </w14:solidFill>
          </w14:textFill>
        </w:rPr>
      </w:pPr>
    </w:p>
    <w:p w14:paraId="2158B4C7">
      <w:pPr>
        <w:spacing w:line="360" w:lineRule="auto"/>
        <w:ind w:firstLine="420" w:firstLineChars="200"/>
        <w:contextualSpacing/>
        <w:jc w:val="center"/>
        <w:outlineLvl w:val="0"/>
        <w:rPr>
          <w:rFonts w:hint="eastAsia" w:ascii="宋体" w:hAnsi="宋体"/>
          <w:b/>
          <w:bCs/>
          <w:color w:val="000000" w:themeColor="text1"/>
          <w:sz w:val="32"/>
          <w14:textFill>
            <w14:solidFill>
              <w14:schemeClr w14:val="tx1"/>
            </w14:solidFill>
          </w14:textFill>
        </w:rPr>
      </w:pPr>
      <w:bookmarkStart w:id="561" w:name="_Toc152042358"/>
      <w:bookmarkStart w:id="562" w:name="_Toc152045581"/>
      <w:bookmarkStart w:id="563" w:name="_Toc144974548"/>
      <w:r>
        <w:rPr>
          <w:rFonts w:ascii="宋体" w:hAnsi="宋体"/>
          <w:color w:val="000000" w:themeColor="text1"/>
          <w14:textFill>
            <w14:solidFill>
              <w14:schemeClr w14:val="tx1"/>
            </w14:solidFill>
          </w14:textFill>
        </w:rPr>
        <w:br w:type="page"/>
      </w:r>
      <w:bookmarkEnd w:id="561"/>
      <w:bookmarkEnd w:id="562"/>
      <w:bookmarkEnd w:id="563"/>
      <w:bookmarkStart w:id="564" w:name="_Toc149206280"/>
      <w:bookmarkStart w:id="565" w:name="_Toc4704"/>
      <w:r>
        <w:rPr>
          <w:rFonts w:hint="eastAsia" w:ascii="宋体" w:hAnsi="宋体"/>
          <w:b/>
          <w:bCs/>
          <w:color w:val="000000" w:themeColor="text1"/>
          <w:sz w:val="32"/>
          <w14:textFill>
            <w14:solidFill>
              <w14:schemeClr w14:val="tx1"/>
            </w14:solidFill>
          </w14:textFill>
        </w:rPr>
        <w:t>第三章 评标办法（综合评估法）</w:t>
      </w:r>
      <w:bookmarkEnd w:id="564"/>
      <w:bookmarkEnd w:id="565"/>
    </w:p>
    <w:p w14:paraId="54914128">
      <w:pPr>
        <w:pStyle w:val="22"/>
        <w:rPr>
          <w:rFonts w:ascii="宋体" w:hAnsi="宋体"/>
          <w:color w:val="000000" w:themeColor="text1"/>
          <w14:textFill>
            <w14:solidFill>
              <w14:schemeClr w14:val="tx1"/>
            </w14:solidFill>
          </w14:textFill>
        </w:rPr>
      </w:pPr>
      <w:bookmarkStart w:id="566" w:name="_Toc149206281"/>
      <w:bookmarkStart w:id="567" w:name="_Toc11157"/>
      <w:bookmarkStart w:id="568" w:name="_Toc31161"/>
      <w:r>
        <w:rPr>
          <w:rFonts w:hint="eastAsia" w:ascii="宋体" w:hAnsi="宋体"/>
          <w:color w:val="000000" w:themeColor="text1"/>
          <w14:textFill>
            <w14:solidFill>
              <w14:schemeClr w14:val="tx1"/>
            </w14:solidFill>
          </w14:textFill>
        </w:rPr>
        <w:t>评标办法前附表</w:t>
      </w:r>
      <w:bookmarkEnd w:id="566"/>
      <w:bookmarkEnd w:id="567"/>
      <w:bookmarkEnd w:id="568"/>
    </w:p>
    <w:tbl>
      <w:tblPr>
        <w:tblStyle w:val="19"/>
        <w:tblW w:w="1000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10"/>
        <w:gridCol w:w="2294"/>
        <w:gridCol w:w="6425"/>
      </w:tblGrid>
      <w:tr w14:paraId="5BDB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87" w:type="dxa"/>
            <w:gridSpan w:val="2"/>
            <w:noWrap w:val="0"/>
            <w:vAlign w:val="center"/>
          </w:tcPr>
          <w:p w14:paraId="55C0B67B">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条款号</w:t>
            </w:r>
          </w:p>
        </w:tc>
        <w:tc>
          <w:tcPr>
            <w:tcW w:w="2294" w:type="dxa"/>
            <w:noWrap w:val="0"/>
            <w:vAlign w:val="center"/>
          </w:tcPr>
          <w:p w14:paraId="59623D49">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评审因素</w:t>
            </w:r>
          </w:p>
        </w:tc>
        <w:tc>
          <w:tcPr>
            <w:tcW w:w="6425" w:type="dxa"/>
            <w:noWrap w:val="0"/>
            <w:vAlign w:val="center"/>
          </w:tcPr>
          <w:p w14:paraId="188EB67B">
            <w:pPr>
              <w:adjustRightInd w:val="0"/>
              <w:contextualSpacing/>
              <w:textAlignment w:val="baseline"/>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评审标准</w:t>
            </w:r>
          </w:p>
        </w:tc>
      </w:tr>
      <w:tr w14:paraId="089E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2446B4D4">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w:t>
            </w:r>
          </w:p>
        </w:tc>
        <w:tc>
          <w:tcPr>
            <w:tcW w:w="510" w:type="dxa"/>
            <w:vMerge w:val="restart"/>
            <w:noWrap w:val="0"/>
            <w:vAlign w:val="center"/>
          </w:tcPr>
          <w:p w14:paraId="581FCD96">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形式评审标准</w:t>
            </w:r>
          </w:p>
        </w:tc>
        <w:tc>
          <w:tcPr>
            <w:tcW w:w="2294" w:type="dxa"/>
            <w:noWrap w:val="0"/>
            <w:vAlign w:val="center"/>
          </w:tcPr>
          <w:p w14:paraId="7C7E489D">
            <w:pPr>
              <w:ind w:leftChars="-2" w:hanging="4" w:hangingChars="2"/>
              <w:contextualSpacing/>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投标人名称</w:t>
            </w:r>
          </w:p>
        </w:tc>
        <w:tc>
          <w:tcPr>
            <w:tcW w:w="6425" w:type="dxa"/>
            <w:noWrap w:val="0"/>
            <w:vAlign w:val="center"/>
          </w:tcPr>
          <w:p w14:paraId="3DAA20B2">
            <w:pPr>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与营业执照一致</w:t>
            </w:r>
          </w:p>
        </w:tc>
      </w:tr>
      <w:tr w14:paraId="4DE5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4D377EE5">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0B95D265">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55C52EB">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投标函签字盖章</w:t>
            </w:r>
          </w:p>
        </w:tc>
        <w:tc>
          <w:tcPr>
            <w:tcW w:w="6425" w:type="dxa"/>
            <w:noWrap w:val="0"/>
            <w:vAlign w:val="center"/>
          </w:tcPr>
          <w:p w14:paraId="279C1886">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符合第二章“投标人须知前附表”第3.7.3项规定</w:t>
            </w:r>
          </w:p>
        </w:tc>
      </w:tr>
      <w:tr w14:paraId="667E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B3591C5">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C9273E9">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1E9C3072">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投标文件格式</w:t>
            </w:r>
          </w:p>
        </w:tc>
        <w:tc>
          <w:tcPr>
            <w:tcW w:w="6425" w:type="dxa"/>
            <w:noWrap w:val="0"/>
            <w:vAlign w:val="center"/>
          </w:tcPr>
          <w:p w14:paraId="218551C5">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投标函及投标函附录应</w:t>
            </w:r>
            <w:r>
              <w:rPr>
                <w:rFonts w:ascii="宋体" w:hAnsi="宋体"/>
                <w:color w:val="000000" w:themeColor="text1"/>
                <w:szCs w:val="21"/>
                <w14:textFill>
                  <w14:solidFill>
                    <w14:schemeClr w14:val="tx1"/>
                  </w14:solidFill>
                </w14:textFill>
              </w:rPr>
              <w:t>符合第八章“投标文件格式”的要求</w:t>
            </w:r>
          </w:p>
        </w:tc>
      </w:tr>
      <w:tr w14:paraId="3EB8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50BEA76">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7646D52">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98A152E">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投标文件编制</w:t>
            </w:r>
          </w:p>
        </w:tc>
        <w:tc>
          <w:tcPr>
            <w:tcW w:w="6425" w:type="dxa"/>
            <w:noWrap w:val="0"/>
            <w:vAlign w:val="center"/>
          </w:tcPr>
          <w:p w14:paraId="57F7D98B">
            <w:pPr>
              <w:contextualSpacing/>
              <w:textAlignment w:val="center"/>
              <w:rPr>
                <w:rFonts w:hint="eastAsia"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符合第二章“投标人须知前附表”第3.7.</w:t>
            </w:r>
            <w:r>
              <w:rPr>
                <w:rFonts w:hint="eastAsia" w:ascii="宋体" w:hAnsi="宋体" w:cs="Arial"/>
                <w:color w:val="000000" w:themeColor="text1"/>
                <w:kern w:val="0"/>
                <w:szCs w:val="21"/>
                <w14:textFill>
                  <w14:solidFill>
                    <w14:schemeClr w14:val="tx1"/>
                  </w14:solidFill>
                </w14:textFill>
              </w:rPr>
              <w:t>1</w:t>
            </w:r>
            <w:r>
              <w:rPr>
                <w:rFonts w:ascii="宋体" w:hAnsi="宋体" w:cs="Arial"/>
                <w:color w:val="000000" w:themeColor="text1"/>
                <w:kern w:val="0"/>
                <w:szCs w:val="21"/>
                <w14:textFill>
                  <w14:solidFill>
                    <w14:schemeClr w14:val="tx1"/>
                  </w14:solidFill>
                </w14:textFill>
              </w:rPr>
              <w:t>项规定</w:t>
            </w:r>
          </w:p>
        </w:tc>
      </w:tr>
      <w:tr w14:paraId="0AEE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2D822C8E">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5BD17B52">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248EEF8E">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13C6CE39">
            <w:pPr>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符合第二章“投标人须知前附表”第</w:t>
            </w:r>
            <w:r>
              <w:rPr>
                <w:rFonts w:hint="eastAsia" w:ascii="宋体" w:hAnsi="宋体" w:cs="Arial"/>
                <w:color w:val="000000" w:themeColor="text1"/>
                <w:kern w:val="0"/>
                <w:szCs w:val="21"/>
                <w:lang w:val="en-US" w:eastAsia="zh-CN"/>
                <w14:textFill>
                  <w14:solidFill>
                    <w14:schemeClr w14:val="tx1"/>
                  </w14:solidFill>
                </w14:textFill>
              </w:rPr>
              <w:t>1.4.2</w:t>
            </w:r>
            <w:r>
              <w:rPr>
                <w:rFonts w:ascii="宋体" w:hAnsi="宋体" w:cs="Arial"/>
                <w:color w:val="000000" w:themeColor="text1"/>
                <w:kern w:val="0"/>
                <w:szCs w:val="21"/>
                <w14:textFill>
                  <w14:solidFill>
                    <w14:schemeClr w14:val="tx1"/>
                  </w14:solidFill>
                </w14:textFill>
              </w:rPr>
              <w:t>项规定</w:t>
            </w:r>
          </w:p>
        </w:tc>
      </w:tr>
      <w:tr w14:paraId="2327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78FBE26">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171FE675">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1118F3F6">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报价唯一</w:t>
            </w:r>
          </w:p>
        </w:tc>
        <w:tc>
          <w:tcPr>
            <w:tcW w:w="6425" w:type="dxa"/>
            <w:noWrap w:val="0"/>
            <w:vAlign w:val="center"/>
          </w:tcPr>
          <w:p w14:paraId="79A6DC0B">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只能有一个有效报价，出现下列情形之一，作否决投标处理：</w:t>
            </w:r>
          </w:p>
          <w:p w14:paraId="54FB3918">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（1）投标人递交两份或多份内容不同的投标文件；</w:t>
            </w:r>
          </w:p>
          <w:p w14:paraId="31F7441B">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（2）在一份投标文件中对同一招标项目报价有两个或多个报价，且未声明哪一个有效（大小写、正副本不一致除外）；</w:t>
            </w:r>
          </w:p>
          <w:p w14:paraId="350F56E6">
            <w:pPr>
              <w:pStyle w:val="6"/>
              <w:topLinePunct/>
              <w:ind w:firstLine="315" w:firstLineChars="150"/>
              <w:contextualSpacing/>
              <w:rPr>
                <w:rFonts w:hAnsi="宋体" w:cs="Arial"/>
                <w:color w:val="000000" w:themeColor="text1"/>
                <w:sz w:val="21"/>
                <w:szCs w:val="21"/>
                <w:lang w:val="en-US" w:eastAsia="zh-CN"/>
                <w14:textFill>
                  <w14:solidFill>
                    <w14:schemeClr w14:val="tx1"/>
                  </w14:solidFill>
                </w14:textFill>
              </w:rPr>
            </w:pPr>
            <w:r>
              <w:rPr>
                <w:rFonts w:hAnsi="宋体" w:cs="Arial"/>
                <w:color w:val="000000" w:themeColor="text1"/>
                <w:sz w:val="21"/>
                <w:szCs w:val="21"/>
                <w:lang w:val="en-US" w:eastAsia="zh-CN"/>
                <w14:textFill>
                  <w14:solidFill>
                    <w14:schemeClr w14:val="tx1"/>
                  </w14:solidFill>
                </w14:textFill>
              </w:rPr>
              <w:t>（3）投标文件中投标函上的报价与分项报价表上的投标总报价不一致；</w:t>
            </w:r>
          </w:p>
          <w:p w14:paraId="372C0641">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（4）商务标中未提供投标函或提供的投标函无有效投标总报价。</w:t>
            </w:r>
          </w:p>
        </w:tc>
      </w:tr>
      <w:tr w14:paraId="67BB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77" w:type="dxa"/>
            <w:vMerge w:val="continue"/>
            <w:noWrap w:val="0"/>
            <w:vAlign w:val="center"/>
          </w:tcPr>
          <w:p w14:paraId="18267814">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5DCEC603">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7977C494">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425" w:type="dxa"/>
            <w:noWrap w:val="0"/>
            <w:vAlign w:val="center"/>
          </w:tcPr>
          <w:p w14:paraId="1498EF41">
            <w:pPr>
              <w:contextualSpacing/>
              <w:textAlignment w:val="center"/>
              <w:rPr>
                <w:rFonts w:hint="eastAsia"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投标人下列任何一种情形的，作否决投标处理</w:t>
            </w:r>
          </w:p>
          <w:p w14:paraId="6C0C9611">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①</w:t>
            </w:r>
            <w:r>
              <w:rPr>
                <w:rFonts w:ascii="宋体" w:hAnsi="宋体" w:cs="Arial"/>
                <w:color w:val="000000" w:themeColor="text1"/>
                <w:szCs w:val="21"/>
                <w14:textFill>
                  <w14:solidFill>
                    <w14:schemeClr w14:val="tx1"/>
                  </w14:solidFill>
                </w14:textFill>
              </w:rPr>
              <w:t>不同投标人委托同一单位或者个人办理投标事宜；</w:t>
            </w:r>
          </w:p>
          <w:p w14:paraId="2E2D1F3C">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②</w:t>
            </w:r>
            <w:r>
              <w:rPr>
                <w:rFonts w:ascii="宋体" w:hAnsi="宋体" w:cs="Arial"/>
                <w:color w:val="000000" w:themeColor="text1"/>
                <w:szCs w:val="21"/>
                <w14:textFill>
                  <w14:solidFill>
                    <w14:schemeClr w14:val="tx1"/>
                  </w14:solidFill>
                </w14:textFill>
              </w:rPr>
              <w:t>不同投标人的投标文件载明的项目管理成员为同一人；</w:t>
            </w:r>
          </w:p>
          <w:p w14:paraId="4ED618A0">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③</w:t>
            </w:r>
            <w:r>
              <w:rPr>
                <w:rFonts w:ascii="宋体" w:hAnsi="宋体" w:cs="Arial"/>
                <w:color w:val="000000" w:themeColor="text1"/>
                <w:szCs w:val="21"/>
                <w14:textFill>
                  <w14:solidFill>
                    <w14:schemeClr w14:val="tx1"/>
                  </w14:solidFill>
                </w14:textFill>
              </w:rPr>
              <w:t>不同投标人的投标文件异常一致或者投标报价呈规律性差异</w:t>
            </w:r>
            <w:r>
              <w:rPr>
                <w:rFonts w:hint="eastAsia" w:ascii="宋体" w:hAnsi="宋体" w:cs="Arial"/>
                <w:color w:val="000000" w:themeColor="text1"/>
                <w:szCs w:val="21"/>
                <w14:textFill>
                  <w14:solidFill>
                    <w14:schemeClr w14:val="tx1"/>
                  </w14:solidFill>
                </w14:textFill>
              </w:rPr>
              <w:t>（投标文件雷同）</w:t>
            </w:r>
            <w:r>
              <w:rPr>
                <w:rFonts w:ascii="宋体" w:hAnsi="宋体" w:cs="Arial"/>
                <w:color w:val="000000" w:themeColor="text1"/>
                <w:szCs w:val="21"/>
                <w14:textFill>
                  <w14:solidFill>
                    <w14:schemeClr w14:val="tx1"/>
                  </w14:solidFill>
                </w14:textFill>
              </w:rPr>
              <w:t>；</w:t>
            </w:r>
          </w:p>
          <w:p w14:paraId="21B5D028">
            <w:pPr>
              <w:ind w:firstLine="430" w:firstLineChars="205"/>
              <w:contextualSpacing/>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④</w:t>
            </w:r>
            <w:r>
              <w:rPr>
                <w:rFonts w:ascii="宋体" w:hAnsi="宋体" w:cs="Arial"/>
                <w:color w:val="000000" w:themeColor="text1"/>
                <w:szCs w:val="21"/>
                <w14:textFill>
                  <w14:solidFill>
                    <w14:schemeClr w14:val="tx1"/>
                  </w14:solidFill>
                </w14:textFill>
              </w:rPr>
              <w:t>不同投标人的投标文件相互混装；</w:t>
            </w:r>
          </w:p>
          <w:p w14:paraId="0EDB88CB">
            <w:pPr>
              <w:ind w:firstLine="430" w:firstLineChars="205"/>
              <w:contextualSpacing/>
              <w:rPr>
                <w:rFonts w:hint="eastAsia"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⑤</w:t>
            </w:r>
            <w:r>
              <w:rPr>
                <w:rFonts w:ascii="宋体" w:hAnsi="宋体" w:cs="Arial"/>
                <w:color w:val="000000" w:themeColor="text1"/>
                <w:szCs w:val="21"/>
                <w14:textFill>
                  <w14:solidFill>
                    <w14:schemeClr w14:val="tx1"/>
                  </w14:solidFill>
                </w14:textFill>
              </w:rPr>
              <w:t>不同投标人的投标</w:t>
            </w:r>
            <w:r>
              <w:rPr>
                <w:rFonts w:hint="eastAsia" w:ascii="宋体" w:hAnsi="宋体" w:cs="Arial"/>
                <w:color w:val="000000" w:themeColor="text1"/>
                <w:szCs w:val="21"/>
                <w14:textFill>
                  <w14:solidFill>
                    <w14:schemeClr w14:val="tx1"/>
                  </w14:solidFill>
                </w14:textFill>
              </w:rPr>
              <w:t>保证</w:t>
            </w:r>
            <w:r>
              <w:rPr>
                <w:rFonts w:ascii="宋体" w:hAnsi="宋体" w:cs="Arial"/>
                <w:color w:val="000000" w:themeColor="text1"/>
                <w:szCs w:val="21"/>
                <w14:textFill>
                  <w14:solidFill>
                    <w14:schemeClr w14:val="tx1"/>
                  </w14:solidFill>
                </w14:textFill>
              </w:rPr>
              <w:t>金从同一单位或者个人的账户转出</w:t>
            </w:r>
            <w:r>
              <w:rPr>
                <w:rFonts w:hint="eastAsia" w:ascii="宋体" w:hAnsi="宋体" w:cs="Arial"/>
                <w:color w:val="000000" w:themeColor="text1"/>
                <w:szCs w:val="21"/>
                <w14:textFill>
                  <w14:solidFill>
                    <w14:schemeClr w14:val="tx1"/>
                  </w14:solidFill>
                </w14:textFill>
              </w:rPr>
              <w:t>。</w:t>
            </w:r>
          </w:p>
        </w:tc>
      </w:tr>
      <w:tr w14:paraId="5EBD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0CE3AF58">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2.1.2</w:t>
            </w:r>
          </w:p>
        </w:tc>
        <w:tc>
          <w:tcPr>
            <w:tcW w:w="510" w:type="dxa"/>
            <w:vMerge w:val="restart"/>
            <w:noWrap w:val="0"/>
            <w:vAlign w:val="center"/>
          </w:tcPr>
          <w:p w14:paraId="72E26B5F">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资格评审标准</w:t>
            </w:r>
          </w:p>
        </w:tc>
        <w:tc>
          <w:tcPr>
            <w:tcW w:w="2294" w:type="dxa"/>
            <w:noWrap w:val="0"/>
            <w:vAlign w:val="center"/>
          </w:tcPr>
          <w:p w14:paraId="3E19B273">
            <w:pPr>
              <w:ind w:leftChars="-2" w:hanging="4" w:hangingChars="2"/>
              <w:contextualSpacing/>
              <w:jc w:val="left"/>
              <w:textAlignment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营业执照</w:t>
            </w:r>
          </w:p>
        </w:tc>
        <w:tc>
          <w:tcPr>
            <w:tcW w:w="6425" w:type="dxa"/>
            <w:noWrap w:val="0"/>
            <w:vAlign w:val="center"/>
          </w:tcPr>
          <w:p w14:paraId="2EB8BA24">
            <w:pPr>
              <w:contextualSpacing/>
              <w:textAlignment w:val="center"/>
              <w:rPr>
                <w:rFonts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符合第二章“投标人须知”第 3.5.1 项规定，</w:t>
            </w:r>
            <w:r>
              <w:rPr>
                <w:rFonts w:ascii="宋体" w:hAnsi="宋体"/>
                <w:color w:val="000000" w:themeColor="text1"/>
                <w:szCs w:val="21"/>
                <w14:textFill>
                  <w14:solidFill>
                    <w14:schemeClr w14:val="tx1"/>
                  </w14:solidFill>
                </w14:textFill>
              </w:rPr>
              <w:t>具备有效的营业执照</w:t>
            </w:r>
          </w:p>
        </w:tc>
      </w:tr>
      <w:tr w14:paraId="37F7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3FB8C104">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F5D86F3">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185F67F6">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资质等级</w:t>
            </w:r>
          </w:p>
        </w:tc>
        <w:tc>
          <w:tcPr>
            <w:tcW w:w="6425" w:type="dxa"/>
            <w:noWrap w:val="0"/>
            <w:vAlign w:val="center"/>
          </w:tcPr>
          <w:p w14:paraId="13FD78AF">
            <w:pPr>
              <w:contextualSpacing/>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温州</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市市政工程建设开发有限公司</w:t>
            </w:r>
            <w:r>
              <w:rPr>
                <w:rFonts w:hint="eastAsia" w:ascii="宋体" w:hAnsi="宋体"/>
                <w:color w:val="000000" w:themeColor="text1"/>
                <w:sz w:val="21"/>
                <w:szCs w:val="21"/>
                <w14:textFill>
                  <w14:solidFill>
                    <w14:schemeClr w14:val="tx1"/>
                  </w14:solidFill>
                </w14:textFill>
              </w:rPr>
              <w:t>入库</w:t>
            </w:r>
            <w:r>
              <w:rPr>
                <w:rFonts w:hint="eastAsia" w:ascii="宋体" w:hAnsi="宋体"/>
                <w:color w:val="000000" w:themeColor="text1"/>
                <w:sz w:val="21"/>
                <w:szCs w:val="21"/>
                <w:lang w:val="en-US" w:eastAsia="zh-CN"/>
                <w14:textFill>
                  <w14:solidFill>
                    <w14:schemeClr w14:val="tx1"/>
                  </w14:solidFill>
                </w14:textFill>
              </w:rPr>
              <w:t>单位</w:t>
            </w:r>
          </w:p>
        </w:tc>
      </w:tr>
      <w:tr w14:paraId="40EF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Merge w:val="continue"/>
            <w:noWrap w:val="0"/>
            <w:vAlign w:val="center"/>
          </w:tcPr>
          <w:p w14:paraId="102F8AB1">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8AD6144">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79BE016">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财务状况</w:t>
            </w:r>
          </w:p>
        </w:tc>
        <w:tc>
          <w:tcPr>
            <w:tcW w:w="6425" w:type="dxa"/>
            <w:noWrap w:val="0"/>
            <w:vAlign w:val="center"/>
          </w:tcPr>
          <w:p w14:paraId="1395E61E">
            <w:pPr>
              <w:contextualSpacing/>
              <w:textAlignment w:val="center"/>
              <w:rPr>
                <w:rFonts w:hint="default"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00BD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55D42ABB">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D552E4E">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19DD6CC0">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类似项目业绩</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266AA27D">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54CB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6491989C">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E2945E2">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216AD8F3">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信誉</w:t>
            </w:r>
          </w:p>
        </w:tc>
        <w:tc>
          <w:tcPr>
            <w:tcW w:w="6425" w:type="dxa"/>
            <w:noWrap w:val="0"/>
            <w:vAlign w:val="center"/>
          </w:tcPr>
          <w:p w14:paraId="09992327">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52CD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61532FD6">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A17409F">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036BBEE7">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项目</w:t>
            </w:r>
            <w:r>
              <w:rPr>
                <w:rFonts w:hint="eastAsia" w:ascii="宋体" w:hAnsi="宋体"/>
                <w:color w:val="000000" w:themeColor="text1"/>
                <w14:textFill>
                  <w14:solidFill>
                    <w14:schemeClr w14:val="tx1"/>
                  </w14:solidFill>
                </w14:textFill>
              </w:rPr>
              <w:t>负责人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75169E2B">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02C1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43B5C089">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3236202">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5913587">
            <w:pPr>
              <w:ind w:leftChars="-2" w:hanging="4" w:hangingChars="2"/>
              <w:contextualSpacing/>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其他要求</w:t>
            </w:r>
          </w:p>
        </w:tc>
        <w:tc>
          <w:tcPr>
            <w:tcW w:w="6425" w:type="dxa"/>
            <w:noWrap w:val="0"/>
            <w:vAlign w:val="center"/>
          </w:tcPr>
          <w:p w14:paraId="5ABE1FEE">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3390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292B6A7C">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26267450">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797FC8F">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联合体投标人</w:t>
            </w:r>
            <w:r>
              <w:rPr>
                <w:rFonts w:hint="eastAsia" w:ascii="宋体" w:hAnsi="宋体"/>
                <w:color w:val="000000" w:themeColor="text1"/>
                <w:szCs w:val="21"/>
                <w14:textFill>
                  <w14:solidFill>
                    <w14:schemeClr w14:val="tx1"/>
                  </w14:solidFill>
                </w14:textFill>
              </w:rPr>
              <w:t>（如有）</w:t>
            </w:r>
          </w:p>
        </w:tc>
        <w:tc>
          <w:tcPr>
            <w:tcW w:w="6425" w:type="dxa"/>
            <w:noWrap w:val="0"/>
            <w:vAlign w:val="center"/>
          </w:tcPr>
          <w:p w14:paraId="77ADE47D">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本项目不要求</w:t>
            </w:r>
          </w:p>
        </w:tc>
      </w:tr>
      <w:tr w14:paraId="1556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noWrap w:val="0"/>
            <w:vAlign w:val="center"/>
          </w:tcPr>
          <w:p w14:paraId="0F362F2C">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2.1.3</w:t>
            </w:r>
          </w:p>
        </w:tc>
        <w:tc>
          <w:tcPr>
            <w:tcW w:w="510" w:type="dxa"/>
            <w:vMerge w:val="restart"/>
            <w:noWrap w:val="0"/>
            <w:vAlign w:val="center"/>
          </w:tcPr>
          <w:p w14:paraId="4DC78DBC">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响应性评审标准</w:t>
            </w:r>
          </w:p>
        </w:tc>
        <w:tc>
          <w:tcPr>
            <w:tcW w:w="2294" w:type="dxa"/>
            <w:noWrap w:val="0"/>
            <w:vAlign w:val="center"/>
          </w:tcPr>
          <w:p w14:paraId="4E5C3B4C">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投标内容</w:t>
            </w:r>
          </w:p>
        </w:tc>
        <w:tc>
          <w:tcPr>
            <w:tcW w:w="6425" w:type="dxa"/>
            <w:noWrap w:val="0"/>
            <w:vAlign w:val="center"/>
          </w:tcPr>
          <w:p w14:paraId="65EB0935">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1D45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1549C1EB">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71BA1B73">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4A10AB2">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工期</w:t>
            </w:r>
          </w:p>
        </w:tc>
        <w:tc>
          <w:tcPr>
            <w:tcW w:w="6425" w:type="dxa"/>
            <w:noWrap w:val="0"/>
            <w:vAlign w:val="center"/>
          </w:tcPr>
          <w:p w14:paraId="03CB7E03">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规定，以投标函上的工期为准。</w:t>
            </w:r>
          </w:p>
        </w:tc>
      </w:tr>
      <w:tr w14:paraId="01D5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3672FEA">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CD2D6D5">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E2508E1">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工程质量</w:t>
            </w:r>
          </w:p>
        </w:tc>
        <w:tc>
          <w:tcPr>
            <w:tcW w:w="6425" w:type="dxa"/>
            <w:noWrap w:val="0"/>
            <w:vAlign w:val="center"/>
          </w:tcPr>
          <w:p w14:paraId="4D037807">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309B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5B966B68">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41A679F9">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6F96BA41">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425" w:type="dxa"/>
            <w:noWrap w:val="0"/>
            <w:vAlign w:val="center"/>
          </w:tcPr>
          <w:p w14:paraId="7106E836">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w:t>
            </w:r>
            <w:r>
              <w:rPr>
                <w:rFonts w:hint="eastAsia" w:ascii="宋体" w:hAnsi="宋体" w:cs="Arial"/>
                <w:color w:val="000000" w:themeColor="text1"/>
                <w:szCs w:val="21"/>
                <w14:textFill>
                  <w14:solidFill>
                    <w14:schemeClr w14:val="tx1"/>
                  </w14:solidFill>
                </w14:textFill>
              </w:rPr>
              <w:t>定</w:t>
            </w:r>
          </w:p>
        </w:tc>
      </w:tr>
      <w:tr w14:paraId="5787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DD8C541">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6451CE5">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55EE10E3">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投标保证金</w:t>
            </w:r>
          </w:p>
        </w:tc>
        <w:tc>
          <w:tcPr>
            <w:tcW w:w="6425" w:type="dxa"/>
            <w:noWrap w:val="0"/>
            <w:vAlign w:val="center"/>
          </w:tcPr>
          <w:p w14:paraId="06C2F87E">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p>
        </w:tc>
      </w:tr>
      <w:tr w14:paraId="0E48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59CE7210">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1F3DA743">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0ECE2807">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权利义务</w:t>
            </w:r>
          </w:p>
        </w:tc>
        <w:tc>
          <w:tcPr>
            <w:tcW w:w="6425" w:type="dxa"/>
            <w:noWrap w:val="0"/>
            <w:vAlign w:val="center"/>
          </w:tcPr>
          <w:p w14:paraId="5ED4F304">
            <w:pPr>
              <w:contextualSpacing/>
              <w:textAlignment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ascii="宋体" w:hAnsi="宋体" w:cs="Arial"/>
                <w:color w:val="000000" w:themeColor="text1"/>
                <w:szCs w:val="21"/>
                <w14:textFill>
                  <w14:solidFill>
                    <w14:schemeClr w14:val="tx1"/>
                  </w14:solidFill>
                </w14:textFill>
              </w:rPr>
              <w:t>规定</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以投标函</w:t>
            </w:r>
            <w:r>
              <w:rPr>
                <w:rFonts w:hint="eastAsia" w:ascii="宋体" w:hAnsi="宋体" w:cs="Arial"/>
                <w:color w:val="000000" w:themeColor="text1"/>
                <w:szCs w:val="21"/>
                <w14:textFill>
                  <w14:solidFill>
                    <w14:schemeClr w14:val="tx1"/>
                  </w14:solidFill>
                </w14:textFill>
              </w:rPr>
              <w:t>附录</w:t>
            </w:r>
            <w:r>
              <w:rPr>
                <w:rFonts w:ascii="宋体" w:hAnsi="宋体" w:cs="Arial"/>
                <w:color w:val="000000" w:themeColor="text1"/>
                <w:szCs w:val="21"/>
                <w14:textFill>
                  <w14:solidFill>
                    <w14:schemeClr w14:val="tx1"/>
                  </w14:solidFill>
                </w14:textFill>
              </w:rPr>
              <w:t>为准</w:t>
            </w:r>
            <w:r>
              <w:rPr>
                <w:rFonts w:hint="eastAsia" w:ascii="宋体" w:hAnsi="宋体" w:cs="Arial"/>
                <w:color w:val="000000" w:themeColor="text1"/>
                <w:szCs w:val="21"/>
                <w14:textFill>
                  <w14:solidFill>
                    <w14:schemeClr w14:val="tx1"/>
                  </w14:solidFill>
                </w14:textFill>
              </w:rPr>
              <w:t>。</w:t>
            </w:r>
          </w:p>
        </w:tc>
      </w:tr>
      <w:tr w14:paraId="1B62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70E8F4E2">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37204594">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2608730C">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已标价工程量清单</w:t>
            </w:r>
          </w:p>
        </w:tc>
        <w:tc>
          <w:tcPr>
            <w:tcW w:w="6425" w:type="dxa"/>
            <w:noWrap w:val="0"/>
            <w:vAlign w:val="center"/>
          </w:tcPr>
          <w:p w14:paraId="3A610AE0">
            <w:pPr>
              <w:contextualSpacing/>
              <w:textAlignment w:val="center"/>
              <w:rPr>
                <w:rFonts w:hint="eastAsia" w:ascii="宋体" w:hAnsi="宋体" w:eastAsia="宋体" w:cs="Arial"/>
                <w:color w:val="000000" w:themeColor="text1"/>
                <w:szCs w:val="21"/>
                <w:lang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w:t>
            </w:r>
          </w:p>
        </w:tc>
      </w:tr>
      <w:tr w14:paraId="55B1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noWrap w:val="0"/>
            <w:vAlign w:val="center"/>
          </w:tcPr>
          <w:p w14:paraId="02824620">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6DA0B576">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39E0BA03">
            <w:pPr>
              <w:adjustRightInd w:val="0"/>
              <w:contextualSpacing/>
              <w:textAlignment w:val="center"/>
              <w:rPr>
                <w:rFonts w:hint="eastAsia" w:ascii="宋体" w:hAnsi="宋体"/>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投标</w:t>
            </w:r>
            <w:r>
              <w:rPr>
                <w:rFonts w:hint="eastAsia" w:ascii="宋体" w:hAnsi="宋体" w:cs="Arial"/>
                <w:color w:val="000000" w:themeColor="text1"/>
                <w:szCs w:val="21"/>
                <w14:textFill>
                  <w14:solidFill>
                    <w14:schemeClr w14:val="tx1"/>
                  </w14:solidFill>
                </w14:textFill>
              </w:rPr>
              <w:t>报</w:t>
            </w:r>
            <w:r>
              <w:rPr>
                <w:rFonts w:ascii="宋体" w:hAnsi="宋体" w:cs="Arial"/>
                <w:color w:val="000000" w:themeColor="text1"/>
                <w:szCs w:val="21"/>
                <w14:textFill>
                  <w14:solidFill>
                    <w14:schemeClr w14:val="tx1"/>
                  </w14:solidFill>
                </w14:textFill>
              </w:rPr>
              <w:t>价</w:t>
            </w:r>
          </w:p>
        </w:tc>
        <w:tc>
          <w:tcPr>
            <w:tcW w:w="6425" w:type="dxa"/>
            <w:noWrap w:val="0"/>
            <w:vAlign w:val="center"/>
          </w:tcPr>
          <w:p w14:paraId="7CE2902A">
            <w:pPr>
              <w:adjustRightInd w:val="0"/>
              <w:contextualSpacing/>
              <w:textAlignment w:val="center"/>
              <w:rPr>
                <w:rFonts w:hint="eastAsia" w:ascii="宋体" w:hAnsi="宋体"/>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投标报价不得超过招标人设定的最高限价</w:t>
            </w:r>
          </w:p>
        </w:tc>
      </w:tr>
      <w:tr w14:paraId="7332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77" w:type="dxa"/>
            <w:vMerge w:val="continue"/>
            <w:noWrap w:val="0"/>
            <w:vAlign w:val="center"/>
          </w:tcPr>
          <w:p w14:paraId="30DA41CA">
            <w:pPr>
              <w:adjustRightInd w:val="0"/>
              <w:contextualSpacing/>
              <w:textAlignment w:val="baseline"/>
              <w:rPr>
                <w:rFonts w:ascii="宋体" w:hAnsi="宋体"/>
                <w:color w:val="000000" w:themeColor="text1"/>
                <w:szCs w:val="21"/>
                <w14:textFill>
                  <w14:solidFill>
                    <w14:schemeClr w14:val="tx1"/>
                  </w14:solidFill>
                </w14:textFill>
              </w:rPr>
            </w:pPr>
          </w:p>
        </w:tc>
        <w:tc>
          <w:tcPr>
            <w:tcW w:w="510" w:type="dxa"/>
            <w:vMerge w:val="continue"/>
            <w:noWrap w:val="0"/>
            <w:vAlign w:val="center"/>
          </w:tcPr>
          <w:p w14:paraId="084926ED">
            <w:pPr>
              <w:adjustRightInd w:val="0"/>
              <w:contextualSpacing/>
              <w:textAlignment w:val="baseline"/>
              <w:rPr>
                <w:rFonts w:ascii="宋体" w:hAnsi="宋体"/>
                <w:color w:val="000000" w:themeColor="text1"/>
                <w:szCs w:val="21"/>
                <w14:textFill>
                  <w14:solidFill>
                    <w14:schemeClr w14:val="tx1"/>
                  </w14:solidFill>
                </w14:textFill>
              </w:rPr>
            </w:pPr>
          </w:p>
        </w:tc>
        <w:tc>
          <w:tcPr>
            <w:tcW w:w="2294" w:type="dxa"/>
            <w:noWrap w:val="0"/>
            <w:vAlign w:val="center"/>
          </w:tcPr>
          <w:p w14:paraId="03347FBA">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技术标准和要求</w:t>
            </w:r>
          </w:p>
        </w:tc>
        <w:tc>
          <w:tcPr>
            <w:tcW w:w="6425" w:type="dxa"/>
            <w:noWrap w:val="0"/>
            <w:vAlign w:val="center"/>
          </w:tcPr>
          <w:p w14:paraId="356D6812">
            <w:pPr>
              <w:contextualSpacing/>
              <w:textAlignment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符合</w:t>
            </w:r>
            <w:r>
              <w:rPr>
                <w:rFonts w:hint="eastAsia" w:ascii="宋体" w:hAnsi="宋体" w:cs="Arial"/>
                <w:color w:val="000000" w:themeColor="text1"/>
                <w:szCs w:val="21"/>
                <w:lang w:val="en-US" w:eastAsia="zh-CN"/>
                <w14:textFill>
                  <w14:solidFill>
                    <w14:schemeClr w14:val="tx1"/>
                  </w14:solidFill>
                </w14:textFill>
              </w:rPr>
              <w:t>招标文件</w:t>
            </w:r>
            <w:r>
              <w:rPr>
                <w:rFonts w:hint="eastAsia" w:ascii="宋体" w:hAnsi="宋体" w:cs="Arial"/>
                <w:color w:val="000000" w:themeColor="text1"/>
                <w:szCs w:val="21"/>
                <w14:textFill>
                  <w14:solidFill>
                    <w14:schemeClr w14:val="tx1"/>
                  </w14:solidFill>
                </w14:textFill>
              </w:rPr>
              <w:t>的要求。</w:t>
            </w:r>
          </w:p>
        </w:tc>
      </w:tr>
      <w:tr w14:paraId="1BED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14:paraId="70A4E86F">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p>
        </w:tc>
        <w:tc>
          <w:tcPr>
            <w:tcW w:w="2294" w:type="dxa"/>
            <w:noWrap w:val="0"/>
            <w:vAlign w:val="center"/>
          </w:tcPr>
          <w:p w14:paraId="2183FE5A">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分值构成</w:t>
            </w:r>
          </w:p>
          <w:p w14:paraId="591F29C9">
            <w:pPr>
              <w:ind w:leftChars="-2" w:hanging="4" w:hangingChars="2"/>
              <w:contextualSpacing/>
              <w:textAlignment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(总分100分)</w:t>
            </w:r>
          </w:p>
        </w:tc>
        <w:tc>
          <w:tcPr>
            <w:tcW w:w="6425" w:type="dxa"/>
            <w:noWrap w:val="0"/>
            <w:vAlign w:val="center"/>
          </w:tcPr>
          <w:p w14:paraId="2B43C3CD">
            <w:pPr>
              <w:tabs>
                <w:tab w:val="left" w:pos="0"/>
              </w:tabs>
              <w:contextualSpacing/>
              <w:rPr>
                <w:rFonts w:hint="eastAsia"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商务标（投标报价）：</w:t>
            </w:r>
            <w:r>
              <w:rPr>
                <w:rFonts w:hint="eastAsia" w:ascii="宋体" w:hAnsi="宋体"/>
                <w:b/>
                <w:bCs/>
                <w:color w:val="000000" w:themeColor="text1"/>
                <w:szCs w:val="21"/>
                <w:u w:val="single"/>
                <w:lang w:val="en-US" w:eastAsia="zh-CN"/>
                <w14:textFill>
                  <w14:solidFill>
                    <w14:schemeClr w14:val="tx1"/>
                  </w14:solidFill>
                </w14:textFill>
              </w:rPr>
              <w:t>10</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14:paraId="495DA628">
            <w:pPr>
              <w:tabs>
                <w:tab w:val="left" w:pos="0"/>
              </w:tabs>
              <w:contextualSpacing/>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技术资信标</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u w:val="single"/>
                <w:lang w:val="en-US" w:eastAsia="zh-CN"/>
                <w14:textFill>
                  <w14:solidFill>
                    <w14:schemeClr w14:val="tx1"/>
                  </w14:solidFill>
                </w14:textFill>
              </w:rPr>
              <w:t>0</w:t>
            </w:r>
            <w:r>
              <w:rPr>
                <w:rFonts w:ascii="宋体" w:hAnsi="宋体"/>
                <w:b/>
                <w:bCs/>
                <w:color w:val="000000" w:themeColor="text1"/>
                <w:szCs w:val="21"/>
                <w14:textFill>
                  <w14:solidFill>
                    <w14:schemeClr w14:val="tx1"/>
                  </w14:solidFill>
                </w14:textFill>
              </w:rPr>
              <w:t>分</w:t>
            </w:r>
          </w:p>
          <w:p w14:paraId="59C49C60">
            <w:pPr>
              <w:tabs>
                <w:tab w:val="left" w:pos="0"/>
              </w:tabs>
              <w:contextualSpacing/>
              <w:rPr>
                <w:rFonts w:ascii="宋体" w:hAnsi="宋体"/>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其他评分因素：</w:t>
            </w:r>
            <w:r>
              <w:rPr>
                <w:rFonts w:ascii="宋体" w:hAnsi="宋体"/>
                <w:b/>
                <w:bCs/>
                <w:color w:val="000000" w:themeColor="text1"/>
                <w:szCs w:val="21"/>
                <w:u w:val="single"/>
                <w14:textFill>
                  <w14:solidFill>
                    <w14:schemeClr w14:val="tx1"/>
                  </w14:solidFill>
                </w14:textFill>
              </w:rPr>
              <w:t>0</w:t>
            </w:r>
            <w:r>
              <w:rPr>
                <w:rFonts w:ascii="宋体" w:hAnsi="宋体"/>
                <w:b/>
                <w:bCs/>
                <w:color w:val="000000" w:themeColor="text1"/>
                <w:szCs w:val="21"/>
                <w14:textFill>
                  <w14:solidFill>
                    <w14:schemeClr w14:val="tx1"/>
                  </w14:solidFill>
                </w14:textFill>
              </w:rPr>
              <w:t>分</w:t>
            </w:r>
          </w:p>
        </w:tc>
      </w:tr>
      <w:tr w14:paraId="78D2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gridSpan w:val="2"/>
            <w:noWrap w:val="0"/>
            <w:vAlign w:val="center"/>
          </w:tcPr>
          <w:p w14:paraId="630A1143">
            <w:pPr>
              <w:adjustRightInd w:val="0"/>
              <w:contextualSpacing/>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2.2.2</w:t>
            </w:r>
          </w:p>
        </w:tc>
        <w:tc>
          <w:tcPr>
            <w:tcW w:w="2294" w:type="dxa"/>
            <w:noWrap w:val="0"/>
            <w:vAlign w:val="center"/>
          </w:tcPr>
          <w:p w14:paraId="42B3F9C9">
            <w:pPr>
              <w:ind w:leftChars="-2" w:hanging="4" w:hangingChars="2"/>
              <w:contextualSpacing/>
              <w:textAlignment w:val="center"/>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评标基准价计算</w:t>
            </w:r>
            <w:r>
              <w:rPr>
                <w:rFonts w:hint="eastAsia" w:ascii="宋体" w:hAnsi="宋体"/>
                <w:color w:val="000000" w:themeColor="text1"/>
                <w:szCs w:val="21"/>
                <w14:textFill>
                  <w14:solidFill>
                    <w14:schemeClr w14:val="tx1"/>
                  </w14:solidFill>
                </w14:textFill>
              </w:rPr>
              <w:t>方法</w:t>
            </w:r>
          </w:p>
        </w:tc>
        <w:tc>
          <w:tcPr>
            <w:tcW w:w="6425" w:type="dxa"/>
            <w:noWrap w:val="0"/>
            <w:vAlign w:val="center"/>
          </w:tcPr>
          <w:p w14:paraId="2D2DF23A">
            <w:pPr>
              <w:pStyle w:val="6"/>
              <w:topLinePunct/>
              <w:spacing w:line="276" w:lineRule="auto"/>
              <w:rPr>
                <w:rFonts w:ascii="Arial" w:hAnsi="Arial" w:cs="Arial"/>
                <w:color w:val="000000" w:themeColor="text1"/>
                <w:sz w:val="21"/>
                <w:szCs w:val="21"/>
                <w:lang w:val="en-US" w:eastAsia="zh-CN"/>
                <w14:textFill>
                  <w14:solidFill>
                    <w14:schemeClr w14:val="tx1"/>
                  </w14:solidFill>
                </w14:textFill>
              </w:rPr>
            </w:pPr>
            <w:r>
              <w:rPr>
                <w:rFonts w:ascii="Arial" w:hAnsi="Arial" w:cs="Arial"/>
                <w:color w:val="000000" w:themeColor="text1"/>
                <w:sz w:val="21"/>
                <w:szCs w:val="21"/>
                <w:lang w:val="en-US" w:eastAsia="zh-CN"/>
                <w14:textFill>
                  <w14:solidFill>
                    <w14:schemeClr w14:val="tx1"/>
                  </w14:solidFill>
                </w14:textFill>
              </w:rPr>
              <w:t>评标基准价由评标委员会依据下述方法计算，除计算差错外，确认后的评标基准价在本次招标期间保持不变。计算差错，仅限于以下两种情况：（1）纯算术性四则运算差错；（2）未按约定的计算方法，多计或者少计投标人报价的。由于评标差错，导致否决投标错误，重新评标纠正等其他情况，不属于计算差错。</w:t>
            </w:r>
          </w:p>
          <w:p w14:paraId="43B2FDC8">
            <w:pPr>
              <w:tabs>
                <w:tab w:val="left" w:pos="0"/>
              </w:tabs>
              <w:ind w:firstLine="27" w:firstLineChars="13"/>
              <w:contextualSpacing/>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评标基准价</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取全部有效标的投标报价的</w:t>
            </w:r>
            <w:r>
              <w:rPr>
                <w:rFonts w:hint="eastAsia" w:ascii="宋体" w:hAnsi="宋体"/>
                <w:color w:val="000000" w:themeColor="text1"/>
                <w:szCs w:val="21"/>
                <w:lang w:val="en-US" w:eastAsia="zh-CN"/>
                <w14:textFill>
                  <w14:solidFill>
                    <w14:schemeClr w14:val="tx1"/>
                  </w14:solidFill>
                </w14:textFill>
              </w:rPr>
              <w:t>下浮最多的报价为基准价</w:t>
            </w:r>
          </w:p>
        </w:tc>
      </w:tr>
      <w:tr w14:paraId="11D6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14:paraId="5BF123B2">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3.2.3</w:t>
            </w:r>
          </w:p>
        </w:tc>
        <w:tc>
          <w:tcPr>
            <w:tcW w:w="2294" w:type="dxa"/>
            <w:noWrap w:val="0"/>
            <w:vAlign w:val="center"/>
          </w:tcPr>
          <w:p w14:paraId="614432CF">
            <w:pPr>
              <w:adjustRightInd w:val="0"/>
              <w:contextualSpacing/>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投标人得分</w:t>
            </w:r>
          </w:p>
        </w:tc>
        <w:tc>
          <w:tcPr>
            <w:tcW w:w="6425" w:type="dxa"/>
            <w:noWrap w:val="0"/>
            <w:vAlign w:val="center"/>
          </w:tcPr>
          <w:p w14:paraId="2A13811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1、不计算，报价下浮最高者为中标候选人，</w:t>
            </w:r>
            <w:r>
              <w:rPr>
                <w:rFonts w:hint="eastAsia" w:ascii="宋体" w:hAnsi="宋体" w:eastAsia="宋体"/>
                <w:color w:val="000000" w:themeColor="text1"/>
                <w:szCs w:val="21"/>
                <w:lang w:val="en-US" w:eastAsia="zh-CN"/>
                <w14:textFill>
                  <w14:solidFill>
                    <w14:schemeClr w14:val="tx1"/>
                  </w14:solidFill>
                </w14:textFill>
              </w:rPr>
              <w:t>按照各方提交的报价单，对报价</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进行依次排名。</w:t>
            </w:r>
          </w:p>
          <w:p w14:paraId="4F41D0C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2、当存在最低价多家相同的情况下，</w:t>
            </w:r>
            <w:r>
              <w:rPr>
                <w:rFonts w:hint="eastAsia" w:ascii="宋体" w:hAnsi="宋体"/>
                <w:color w:val="000000" w:themeColor="text1"/>
                <w:szCs w:val="21"/>
                <w:lang w:val="en-US" w:eastAsia="zh-CN"/>
                <w14:textFill>
                  <w14:solidFill>
                    <w14:schemeClr w14:val="tx1"/>
                  </w14:solidFill>
                </w14:textFill>
              </w:rPr>
              <w:t>采取抽签方式</w:t>
            </w:r>
            <w:r>
              <w:rPr>
                <w:rFonts w:hint="eastAsia" w:ascii="宋体" w:hAnsi="宋体" w:eastAsia="宋体"/>
                <w:color w:val="000000" w:themeColor="text1"/>
                <w:szCs w:val="21"/>
                <w:lang w:val="en-US" w:eastAsia="zh-CN"/>
                <w14:textFill>
                  <w14:solidFill>
                    <w14:schemeClr w14:val="tx1"/>
                  </w14:solidFill>
                </w14:textFill>
              </w:rPr>
              <w:t>，随机选取一家，确定为最终中选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w:t>
            </w:r>
          </w:p>
          <w:p w14:paraId="53B10E0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2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3、如中选</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eastAsia="宋体"/>
                <w:color w:val="000000" w:themeColor="text1"/>
                <w:szCs w:val="21"/>
                <w:lang w:val="en-US" w:eastAsia="zh-CN"/>
                <w14:textFill>
                  <w14:solidFill>
                    <w14:schemeClr w14:val="tx1"/>
                  </w14:solidFill>
                </w14:textFill>
              </w:rPr>
              <w:t>放弃中选结果，第一名放弃且第二名愿意以第一名价格中选的，则第二名中选；前两名放弃且第三名愿意以第一名价格中选的，则第三名中选；前三名都放弃，则重新开展比选工作</w:t>
            </w:r>
            <w:r>
              <w:rPr>
                <w:rFonts w:hint="eastAsia" w:ascii="仿宋" w:hAnsi="仿宋" w:eastAsia="仿宋" w:cs="仿宋"/>
                <w:color w:val="000000" w:themeColor="text1"/>
                <w:sz w:val="32"/>
                <w:szCs w:val="32"/>
                <w:lang w:val="en-US" w:eastAsia="zh-CN"/>
                <w14:textFill>
                  <w14:solidFill>
                    <w14:schemeClr w14:val="tx1"/>
                  </w14:solidFill>
                </w14:textFill>
              </w:rPr>
              <w:t>。</w:t>
            </w:r>
          </w:p>
          <w:p w14:paraId="2313C29A">
            <w:pPr>
              <w:tabs>
                <w:tab w:val="left" w:pos="482"/>
                <w:tab w:val="left" w:pos="2183"/>
                <w:tab w:val="left" w:pos="3884"/>
                <w:tab w:val="left" w:pos="5585"/>
              </w:tabs>
              <w:adjustRightInd w:val="0"/>
              <w:contextualSpacing/>
              <w:textAlignment w:val="center"/>
              <w:rPr>
                <w:rStyle w:val="25"/>
                <w:rFonts w:hint="default" w:eastAsia="宋体"/>
                <w:color w:val="000000" w:themeColor="text1"/>
                <w:lang w:val="en-US" w:eastAsia="zh-CN"/>
                <w14:textFill>
                  <w14:solidFill>
                    <w14:schemeClr w14:val="tx1"/>
                  </w14:solidFill>
                </w14:textFill>
              </w:rPr>
            </w:pPr>
          </w:p>
        </w:tc>
      </w:tr>
      <w:tr w14:paraId="09F2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287" w:type="dxa"/>
            <w:gridSpan w:val="2"/>
            <w:noWrap w:val="0"/>
            <w:vAlign w:val="center"/>
          </w:tcPr>
          <w:p w14:paraId="1D274220">
            <w:pPr>
              <w:adjustRightInd w:val="0"/>
              <w:contextualSpacing/>
              <w:textAlignment w:val="baseline"/>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2.2.4(1)</w:t>
            </w:r>
          </w:p>
        </w:tc>
        <w:tc>
          <w:tcPr>
            <w:tcW w:w="2294" w:type="dxa"/>
            <w:noWrap w:val="0"/>
            <w:vAlign w:val="center"/>
          </w:tcPr>
          <w:p w14:paraId="1CDC5A9A">
            <w:pPr>
              <w:adjustRightInd w:val="0"/>
              <w:contextualSpacing/>
              <w:textAlignment w:val="baseline"/>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其他</w:t>
            </w:r>
          </w:p>
        </w:tc>
        <w:tc>
          <w:tcPr>
            <w:tcW w:w="6425" w:type="dxa"/>
            <w:noWrap w:val="0"/>
            <w:vAlign w:val="center"/>
          </w:tcPr>
          <w:p w14:paraId="42280BAE">
            <w:pPr>
              <w:pStyle w:val="22"/>
              <w:spacing w:before="0" w:line="240" w:lineRule="auto"/>
              <w:contextualSpacing/>
              <w:rPr>
                <w:rFonts w:hint="default" w:ascii="宋体" w:hAnsi="宋体" w:eastAsia="宋体" w:cs="Times New Roman"/>
                <w:color w:val="000000" w:themeColor="text1"/>
                <w:sz w:val="21"/>
                <w:szCs w:val="21"/>
                <w:lang w:val="en-US" w:eastAsia="zh-CN"/>
                <w14:textFill>
                  <w14:solidFill>
                    <w14:schemeClr w14:val="tx1"/>
                  </w14:solidFill>
                </w14:textFill>
              </w:rPr>
            </w:pPr>
            <w:bookmarkStart w:id="569" w:name="_Toc6420"/>
            <w:r>
              <w:rPr>
                <w:rFonts w:hint="eastAsia" w:ascii="Arial" w:hAnsi="Arial" w:cs="Arial"/>
                <w:color w:val="000000" w:themeColor="text1"/>
                <w:kern w:val="2"/>
                <w:sz w:val="22"/>
                <w:szCs w:val="22"/>
                <w:highlight w:val="none"/>
                <w:lang w:val="en-US" w:eastAsia="zh-CN" w:bidi="ar-SA"/>
                <w14:textFill>
                  <w14:solidFill>
                    <w14:schemeClr w14:val="tx1"/>
                  </w14:solidFill>
                </w14:textFill>
              </w:rPr>
              <w:t>投标人自有的商品混凝土砼搅拌站详细地址审查是否符合本次招标要求由招标人判定，招标人拥有最终解释权。</w:t>
            </w:r>
            <w:bookmarkEnd w:id="569"/>
          </w:p>
        </w:tc>
      </w:tr>
      <w:tr w14:paraId="3602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006" w:type="dxa"/>
            <w:gridSpan w:val="4"/>
            <w:noWrap w:val="0"/>
            <w:vAlign w:val="center"/>
          </w:tcPr>
          <w:p w14:paraId="5D205C46">
            <w:pPr>
              <w:contextualSpacing/>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1、评标程序的细化补充：</w:t>
            </w:r>
          </w:p>
          <w:p w14:paraId="0C3F6600">
            <w:pPr>
              <w:pStyle w:val="6"/>
              <w:topLinePunct/>
              <w:spacing w:line="276" w:lineRule="auto"/>
              <w:rPr>
                <w:rFonts w:hint="eastAsia" w:ascii="Arial" w:hAnsi="Arial" w:cs="Arial"/>
                <w:iCs/>
                <w:color w:val="000000" w:themeColor="text1"/>
                <w:sz w:val="21"/>
                <w:szCs w:val="21"/>
                <w:lang w:val="en-US" w:eastAsia="zh-CN"/>
                <w14:textFill>
                  <w14:solidFill>
                    <w14:schemeClr w14:val="tx1"/>
                  </w14:solidFill>
                </w14:textFill>
              </w:rPr>
            </w:pPr>
            <w:r>
              <w:rPr>
                <w:rFonts w:hint="eastAsia" w:ascii="Arial" w:hAnsi="Arial" w:cs="Arial"/>
                <w:iCs/>
                <w:color w:val="000000" w:themeColor="text1"/>
                <w:sz w:val="21"/>
                <w:szCs w:val="21"/>
                <w:lang w:val="en-US" w:eastAsia="zh-CN"/>
                <w14:textFill>
                  <w14:solidFill>
                    <w14:schemeClr w14:val="tx1"/>
                  </w14:solidFill>
                </w14:textFill>
              </w:rPr>
              <w:t>第一步：商务标评审（首先进行商务标的初步评审，再进行详细评审并根据评分标准评分）</w:t>
            </w:r>
          </w:p>
          <w:p w14:paraId="2E9C45B3">
            <w:pPr>
              <w:pStyle w:val="17"/>
              <w:spacing w:after="0"/>
              <w:ind w:firstLine="0" w:firstLineChars="0"/>
              <w:contextualSpacing/>
              <w:rPr>
                <w:rFonts w:hint="default" w:ascii="宋体" w:hAnsi="宋体"/>
                <w:color w:val="000000" w:themeColor="text1"/>
                <w:szCs w:val="21"/>
                <w:lang w:val="en-US" w:eastAsia="zh-CN"/>
                <w14:textFill>
                  <w14:solidFill>
                    <w14:schemeClr w14:val="tx1"/>
                  </w14:solidFill>
                </w14:textFill>
              </w:rPr>
            </w:pPr>
            <w:r>
              <w:rPr>
                <w:rFonts w:hint="eastAsia" w:ascii="Arial" w:hAnsi="Arial" w:cs="Arial"/>
                <w:iCs/>
                <w:color w:val="000000" w:themeColor="text1"/>
                <w:szCs w:val="21"/>
                <w:lang w:val="en-US" w:eastAsia="zh-CN"/>
                <w14:textFill>
                  <w14:solidFill>
                    <w14:schemeClr w14:val="tx1"/>
                  </w14:solidFill>
                </w14:textFill>
              </w:rPr>
              <w:t>第二步：资格审查</w:t>
            </w:r>
          </w:p>
        </w:tc>
      </w:tr>
    </w:tbl>
    <w:p w14:paraId="6CDF7D29">
      <w:pPr>
        <w:rPr>
          <w:color w:val="000000" w:themeColor="text1"/>
          <w14:textFill>
            <w14:solidFill>
              <w14:schemeClr w14:val="tx1"/>
            </w14:solidFill>
          </w14:textFill>
        </w:rPr>
      </w:pPr>
    </w:p>
    <w:p w14:paraId="7CBC2471">
      <w:pPr>
        <w:spacing w:after="118" w:line="265" w:lineRule="auto"/>
        <w:ind w:left="430" w:right="590" w:hanging="10"/>
        <w:rPr>
          <w:rFonts w:hint="eastAsia"/>
          <w:color w:val="000000" w:themeColor="text1"/>
          <w14:textFill>
            <w14:solidFill>
              <w14:schemeClr w14:val="tx1"/>
            </w14:solidFill>
          </w14:textFill>
        </w:rPr>
      </w:pPr>
      <w:bookmarkStart w:id="570" w:name="_Toc34744604"/>
      <w:bookmarkStart w:id="571" w:name="_Toc144974567"/>
      <w:bookmarkStart w:id="572" w:name="_Toc34814234"/>
      <w:bookmarkStart w:id="573" w:name="_Toc152045600"/>
      <w:bookmarkStart w:id="574" w:name="_Toc152042377"/>
    </w:p>
    <w:p w14:paraId="5364B72D">
      <w:pPr>
        <w:pStyle w:val="22"/>
        <w:spacing w:before="0" w:line="360" w:lineRule="auto"/>
        <w:outlineLvl w:val="0"/>
        <w:rPr>
          <w:rFonts w:hint="eastAsia" w:ascii="宋体" w:hAnsi="宋体"/>
          <w:color w:val="000000" w:themeColor="text1"/>
          <w14:textFill>
            <w14:solidFill>
              <w14:schemeClr w14:val="tx1"/>
            </w14:solidFill>
          </w14:textFill>
        </w:rPr>
      </w:pPr>
      <w:bookmarkStart w:id="575" w:name="_Toc12717"/>
      <w:r>
        <w:rPr>
          <w:rFonts w:ascii="宋体" w:hAnsi="宋体"/>
          <w:color w:val="000000" w:themeColor="text1"/>
          <w14:textFill>
            <w14:solidFill>
              <w14:schemeClr w14:val="tx1"/>
            </w14:solidFill>
          </w14:textFill>
        </w:rPr>
        <w:br w:type="page"/>
      </w:r>
      <w:bookmarkStart w:id="576" w:name="_Toc15869"/>
      <w:bookmarkStart w:id="577" w:name="_Toc149206284"/>
      <w:r>
        <w:rPr>
          <w:rFonts w:hint="eastAsia" w:ascii="宋体" w:hAnsi="宋体"/>
          <w:color w:val="000000" w:themeColor="text1"/>
          <w14:textFill>
            <w14:solidFill>
              <w14:schemeClr w14:val="tx1"/>
            </w14:solidFill>
          </w14:textFill>
        </w:rPr>
        <w:t>1. 评标方法</w:t>
      </w:r>
      <w:bookmarkEnd w:id="570"/>
      <w:bookmarkEnd w:id="571"/>
      <w:bookmarkEnd w:id="572"/>
      <w:bookmarkEnd w:id="573"/>
      <w:bookmarkEnd w:id="574"/>
      <w:bookmarkEnd w:id="575"/>
      <w:bookmarkEnd w:id="576"/>
      <w:bookmarkEnd w:id="577"/>
    </w:p>
    <w:p w14:paraId="31394965">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14:paraId="0994ECD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本评标办法中涉及到投标报价相等的，抽签确定名次优先者。本评标办法中涉及到小数位的计算除另有约定除外，均保留二位小数，第三位四舍五入。</w:t>
      </w:r>
    </w:p>
    <w:p w14:paraId="38340747">
      <w:pPr>
        <w:pStyle w:val="22"/>
        <w:spacing w:before="0" w:line="360" w:lineRule="auto"/>
        <w:outlineLvl w:val="0"/>
        <w:rPr>
          <w:rFonts w:hint="eastAsia" w:ascii="宋体" w:hAnsi="宋体"/>
          <w:color w:val="000000" w:themeColor="text1"/>
          <w14:textFill>
            <w14:solidFill>
              <w14:schemeClr w14:val="tx1"/>
            </w14:solidFill>
          </w14:textFill>
        </w:rPr>
      </w:pPr>
      <w:bookmarkStart w:id="578" w:name="_Toc149206285"/>
      <w:bookmarkStart w:id="579" w:name="_Toc34814235"/>
      <w:bookmarkStart w:id="580" w:name="_Toc152045601"/>
      <w:bookmarkStart w:id="581" w:name="_Toc8454"/>
      <w:bookmarkStart w:id="582" w:name="_Toc31938"/>
      <w:bookmarkStart w:id="583" w:name="_Toc34744605"/>
      <w:bookmarkStart w:id="584" w:name="_Toc144974568"/>
      <w:bookmarkStart w:id="585" w:name="_Toc152042378"/>
      <w:r>
        <w:rPr>
          <w:rFonts w:hint="eastAsia" w:ascii="宋体" w:hAnsi="宋体"/>
          <w:color w:val="000000" w:themeColor="text1"/>
          <w14:textFill>
            <w14:solidFill>
              <w14:schemeClr w14:val="tx1"/>
            </w14:solidFill>
          </w14:textFill>
        </w:rPr>
        <w:t>2. 评审标准</w:t>
      </w:r>
      <w:bookmarkEnd w:id="578"/>
      <w:bookmarkEnd w:id="579"/>
      <w:bookmarkEnd w:id="580"/>
      <w:bookmarkEnd w:id="581"/>
      <w:bookmarkEnd w:id="582"/>
      <w:bookmarkEnd w:id="583"/>
      <w:bookmarkEnd w:id="584"/>
      <w:bookmarkEnd w:id="585"/>
    </w:p>
    <w:p w14:paraId="65F19B3A">
      <w:pPr>
        <w:pStyle w:val="24"/>
        <w:spacing w:line="360" w:lineRule="auto"/>
        <w:outlineLvl w:val="0"/>
        <w:rPr>
          <w:rFonts w:hint="eastAsia" w:ascii="宋体" w:hAnsi="宋体" w:eastAsia="宋体"/>
          <w:color w:val="000000" w:themeColor="text1"/>
          <w14:textFill>
            <w14:solidFill>
              <w14:schemeClr w14:val="tx1"/>
            </w14:solidFill>
          </w14:textFill>
        </w:rPr>
      </w:pPr>
      <w:bookmarkStart w:id="586" w:name="_Toc109"/>
      <w:bookmarkStart w:id="587" w:name="_Toc34814236"/>
      <w:bookmarkStart w:id="588" w:name="_Toc34744606"/>
      <w:bookmarkStart w:id="589" w:name="_Toc144974569"/>
      <w:bookmarkStart w:id="590" w:name="_Toc152042379"/>
      <w:bookmarkStart w:id="591" w:name="_Toc152045602"/>
      <w:bookmarkStart w:id="592" w:name="_Toc21668"/>
      <w:bookmarkStart w:id="593" w:name="_Toc149206286"/>
      <w:r>
        <w:rPr>
          <w:rFonts w:hint="eastAsia" w:ascii="宋体" w:hAnsi="宋体" w:eastAsia="宋体"/>
          <w:color w:val="000000" w:themeColor="text1"/>
          <w14:textFill>
            <w14:solidFill>
              <w14:schemeClr w14:val="tx1"/>
            </w14:solidFill>
          </w14:textFill>
        </w:rPr>
        <w:t>2.1 初步评审标准</w:t>
      </w:r>
      <w:bookmarkEnd w:id="586"/>
      <w:bookmarkEnd w:id="587"/>
      <w:bookmarkEnd w:id="588"/>
      <w:bookmarkEnd w:id="589"/>
      <w:bookmarkEnd w:id="590"/>
      <w:bookmarkEnd w:id="591"/>
      <w:bookmarkEnd w:id="592"/>
      <w:bookmarkEnd w:id="593"/>
    </w:p>
    <w:p w14:paraId="04477F9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形式评审标准：见评标办法前附表。</w:t>
      </w:r>
    </w:p>
    <w:p w14:paraId="456EDCF3">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资格评审标准：见评标办法前附表（适用于未进行资格预审的）。</w:t>
      </w:r>
    </w:p>
    <w:p w14:paraId="18A9436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资格评审标准：见资格预审文件第三章“资格审查办法”详细审查标准（适用于已进行资格预审的）。</w:t>
      </w:r>
    </w:p>
    <w:p w14:paraId="2F3D25D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响应性评审标准：见评标办法前附表。</w:t>
      </w:r>
    </w:p>
    <w:p w14:paraId="394FAAC7">
      <w:pPr>
        <w:pStyle w:val="24"/>
        <w:spacing w:line="360" w:lineRule="auto"/>
        <w:outlineLvl w:val="0"/>
        <w:rPr>
          <w:rFonts w:hint="eastAsia" w:ascii="宋体" w:hAnsi="宋体" w:eastAsia="宋体"/>
          <w:color w:val="000000" w:themeColor="text1"/>
          <w14:textFill>
            <w14:solidFill>
              <w14:schemeClr w14:val="tx1"/>
            </w14:solidFill>
          </w14:textFill>
        </w:rPr>
      </w:pPr>
      <w:bookmarkStart w:id="594" w:name="_Toc34744607"/>
      <w:bookmarkStart w:id="595" w:name="_Toc10647"/>
      <w:bookmarkStart w:id="596" w:name="_Toc152042380"/>
      <w:bookmarkStart w:id="597" w:name="_Toc34814237"/>
      <w:bookmarkStart w:id="598" w:name="_Toc144974570"/>
      <w:bookmarkStart w:id="599" w:name="_Toc152045603"/>
      <w:bookmarkStart w:id="600" w:name="_Toc31323"/>
      <w:bookmarkStart w:id="601" w:name="_Toc149206287"/>
      <w:r>
        <w:rPr>
          <w:rFonts w:hint="eastAsia" w:ascii="宋体" w:hAnsi="宋体" w:eastAsia="宋体"/>
          <w:color w:val="000000" w:themeColor="text1"/>
          <w14:textFill>
            <w14:solidFill>
              <w14:schemeClr w14:val="tx1"/>
            </w14:solidFill>
          </w14:textFill>
        </w:rPr>
        <w:t>2.2 分值构成与评分标准</w:t>
      </w:r>
      <w:bookmarkEnd w:id="594"/>
      <w:bookmarkEnd w:id="595"/>
      <w:bookmarkEnd w:id="596"/>
      <w:bookmarkEnd w:id="597"/>
      <w:bookmarkEnd w:id="598"/>
      <w:bookmarkEnd w:id="599"/>
      <w:bookmarkEnd w:id="600"/>
      <w:bookmarkEnd w:id="601"/>
    </w:p>
    <w:p w14:paraId="39ED137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2.2.1 分值构成</w:t>
      </w:r>
    </w:p>
    <w:p w14:paraId="130DF61F">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（1）技术资信：见评标办法前附表；</w:t>
      </w:r>
    </w:p>
    <w:p w14:paraId="776490BF">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（2）商务标（投标报价）：见评标办法前附表；</w:t>
      </w:r>
    </w:p>
    <w:p w14:paraId="19EBE78E">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（3）其他评分因素：见评标办法前附表。</w:t>
      </w:r>
    </w:p>
    <w:p w14:paraId="5150A40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2.2.2 评标基准价计算</w:t>
      </w:r>
    </w:p>
    <w:p w14:paraId="13C64ABE">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评标基准价计算方法：见评标办法前附表。</w:t>
      </w:r>
    </w:p>
    <w:p w14:paraId="6BFBED0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2.2.3 投标报价的偏差率计算</w:t>
      </w:r>
    </w:p>
    <w:p w14:paraId="6743D6EC">
      <w:pPr>
        <w:spacing w:line="360" w:lineRule="auto"/>
        <w:ind w:firstLine="840" w:firstLineChars="4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投标报价的偏差率计算公式：见评标办法前附表。</w:t>
      </w:r>
    </w:p>
    <w:p w14:paraId="55265DCC">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2.2.4 评分标准</w:t>
      </w:r>
    </w:p>
    <w:p w14:paraId="62188E3F">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（1）技术资信标评分标准：见评标办法前附表；</w:t>
      </w:r>
    </w:p>
    <w:p w14:paraId="7743C6B0">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（2）商务标（投标报价）评分标准：见评标办法前附表；</w:t>
      </w:r>
    </w:p>
    <w:p w14:paraId="642380EE">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（3）其他因素评分标准：见评标办法前附表。</w:t>
      </w:r>
    </w:p>
    <w:p w14:paraId="5511044A">
      <w:pPr>
        <w:pStyle w:val="22"/>
        <w:spacing w:before="0" w:line="360" w:lineRule="auto"/>
        <w:outlineLvl w:val="0"/>
        <w:rPr>
          <w:rFonts w:hint="eastAsia" w:ascii="宋体" w:hAnsi="宋体"/>
          <w:color w:val="000000" w:themeColor="text1"/>
          <w14:textFill>
            <w14:solidFill>
              <w14:schemeClr w14:val="tx1"/>
            </w14:solidFill>
          </w14:textFill>
        </w:rPr>
      </w:pPr>
      <w:bookmarkStart w:id="602" w:name="_Toc152042381"/>
      <w:bookmarkStart w:id="603" w:name="_Toc34744608"/>
      <w:bookmarkStart w:id="604" w:name="_Toc852"/>
      <w:bookmarkStart w:id="605" w:name="_Toc144974571"/>
      <w:bookmarkStart w:id="606" w:name="_Toc152045604"/>
      <w:bookmarkStart w:id="607" w:name="_Toc149206288"/>
      <w:bookmarkStart w:id="608" w:name="_Toc10473"/>
      <w:bookmarkStart w:id="609" w:name="_Toc34814238"/>
      <w:r>
        <w:rPr>
          <w:rFonts w:hint="eastAsia" w:ascii="宋体" w:hAnsi="宋体"/>
          <w:color w:val="000000" w:themeColor="text1"/>
          <w14:textFill>
            <w14:solidFill>
              <w14:schemeClr w14:val="tx1"/>
            </w14:solidFill>
          </w14:textFill>
        </w:rPr>
        <w:t>3. 评标程序</w:t>
      </w:r>
      <w:bookmarkEnd w:id="602"/>
      <w:bookmarkEnd w:id="603"/>
      <w:bookmarkEnd w:id="604"/>
      <w:bookmarkEnd w:id="605"/>
      <w:bookmarkEnd w:id="606"/>
      <w:bookmarkEnd w:id="607"/>
      <w:bookmarkEnd w:id="608"/>
      <w:bookmarkEnd w:id="609"/>
    </w:p>
    <w:p w14:paraId="5A0A64A7">
      <w:pPr>
        <w:pStyle w:val="24"/>
        <w:spacing w:line="360" w:lineRule="auto"/>
        <w:outlineLvl w:val="0"/>
        <w:rPr>
          <w:rFonts w:hint="eastAsia" w:ascii="宋体" w:hAnsi="宋体" w:eastAsia="宋体"/>
          <w:color w:val="000000" w:themeColor="text1"/>
          <w14:textFill>
            <w14:solidFill>
              <w14:schemeClr w14:val="tx1"/>
            </w14:solidFill>
          </w14:textFill>
        </w:rPr>
      </w:pPr>
      <w:bookmarkStart w:id="610" w:name="_Toc13178"/>
      <w:bookmarkStart w:id="611" w:name="_Toc152042382"/>
      <w:bookmarkStart w:id="612" w:name="_Toc152045605"/>
      <w:bookmarkStart w:id="613" w:name="_Toc149206289"/>
      <w:bookmarkStart w:id="614" w:name="_Toc34744609"/>
      <w:bookmarkStart w:id="615" w:name="_Toc1967"/>
      <w:bookmarkStart w:id="616" w:name="_Toc144974572"/>
      <w:bookmarkStart w:id="617" w:name="_Toc34814239"/>
      <w:r>
        <w:rPr>
          <w:rFonts w:hint="eastAsia" w:ascii="宋体" w:hAnsi="宋体" w:eastAsia="宋体"/>
          <w:color w:val="000000" w:themeColor="text1"/>
          <w14:textFill>
            <w14:solidFill>
              <w14:schemeClr w14:val="tx1"/>
            </w14:solidFill>
          </w14:textFill>
        </w:rPr>
        <w:t>3.1 初步评审</w:t>
      </w:r>
      <w:bookmarkEnd w:id="610"/>
      <w:bookmarkEnd w:id="611"/>
      <w:bookmarkEnd w:id="612"/>
      <w:bookmarkEnd w:id="613"/>
      <w:bookmarkEnd w:id="614"/>
      <w:bookmarkEnd w:id="615"/>
      <w:bookmarkEnd w:id="616"/>
      <w:bookmarkEnd w:id="617"/>
    </w:p>
    <w:p w14:paraId="029BE57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3.1.1评标委员会依据本章第2.1款规定的标准对投标文件进行初步评审。有一项不符合评审标准的，作否决其投标处理。（适用于未进行资格预审的）</w:t>
      </w:r>
    </w:p>
    <w:p w14:paraId="6FED93F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3.1.1 评标委员会依据本章第2.1.1项、第2.1.3项规定的评审标准对投标文件进行初步评审。有一项不符合评审标准的，作否决其投标处理。当投标人资格预审申请文件的内容发生重大变化时，评标委员会依据本章第2.1.2项规定的标准对其更新资料进行评审。（适用于已进行资格预审的）</w:t>
      </w:r>
    </w:p>
    <w:p w14:paraId="5B8BDDDA">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3.1.2 投标人有以下情形之一的，应当否决其投标：</w:t>
      </w:r>
    </w:p>
    <w:p w14:paraId="5C4CD389">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（1）第二章“投标人须知”第1.4.3项规定的任何一种情形的；</w:t>
      </w:r>
    </w:p>
    <w:p w14:paraId="2CCD3484">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（2）串通投标或弄虚作假或有其他违法行为的；</w:t>
      </w:r>
    </w:p>
    <w:p w14:paraId="7545F3AF">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（3）不按评标委员会要求澄清、说明或补正的。</w:t>
      </w:r>
    </w:p>
    <w:p w14:paraId="34A9BD3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3.1.3投标报价有算术错误的，评标委员会按以下原则对投标报价进行修正，修正的价格经投标人书面确认后具有约束力。投标人不接受修正价格的，应当否决其投标。</w:t>
      </w:r>
    </w:p>
    <w:p w14:paraId="47A930E3">
      <w:pPr>
        <w:spacing w:line="360" w:lineRule="auto"/>
        <w:ind w:firstLine="718" w:firstLineChars="342"/>
        <w:rPr>
          <w:rFonts w:hint="eastAsia" w:ascii="宋体" w:hAnsi="宋体" w:cs="宋体"/>
          <w:color w:val="000000" w:themeColor="text1"/>
          <w14:textFill>
            <w14:solidFill>
              <w14:schemeClr w14:val="tx1"/>
            </w14:solidFill>
          </w14:textFill>
        </w:rPr>
      </w:pPr>
      <w:bookmarkStart w:id="618" w:name="_Toc152042383"/>
      <w:r>
        <w:rPr>
          <w:rFonts w:hint="eastAsia" w:ascii="宋体" w:hAnsi="宋体" w:cs="宋体"/>
          <w:color w:val="000000" w:themeColor="text1"/>
          <w14:textFill>
            <w14:solidFill>
              <w14:schemeClr w14:val="tx1"/>
            </w14:solidFill>
          </w14:textFill>
        </w:rPr>
        <w:t>（1）投标文件中的大写金额与小写金额不一致的，以大写金额为准；</w:t>
      </w:r>
      <w:bookmarkEnd w:id="618"/>
    </w:p>
    <w:p w14:paraId="666660F4">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（2）总价金额与依据单价计算出的结果不一致的，以单价金额为准修正总价，但单价金额小数点有明显错误的除外。</w:t>
      </w:r>
    </w:p>
    <w:p w14:paraId="7A0BEE45">
      <w:pPr>
        <w:pStyle w:val="24"/>
        <w:spacing w:line="360" w:lineRule="auto"/>
        <w:outlineLvl w:val="0"/>
        <w:rPr>
          <w:rFonts w:hint="eastAsia" w:ascii="宋体" w:hAnsi="宋体" w:eastAsia="宋体"/>
          <w:color w:val="000000" w:themeColor="text1"/>
          <w14:textFill>
            <w14:solidFill>
              <w14:schemeClr w14:val="tx1"/>
            </w14:solidFill>
          </w14:textFill>
        </w:rPr>
      </w:pPr>
      <w:bookmarkStart w:id="619" w:name="_Toc34814240"/>
      <w:bookmarkStart w:id="620" w:name="_Toc149206290"/>
      <w:bookmarkStart w:id="621" w:name="_Toc11676"/>
      <w:bookmarkStart w:id="622" w:name="_Toc152045606"/>
      <w:bookmarkStart w:id="623" w:name="_Toc34744610"/>
      <w:bookmarkStart w:id="624" w:name="_Toc21895"/>
      <w:bookmarkStart w:id="625" w:name="_Toc144974573"/>
      <w:bookmarkStart w:id="626" w:name="_Toc152042384"/>
      <w:r>
        <w:rPr>
          <w:rFonts w:hint="eastAsia" w:ascii="宋体" w:hAnsi="宋体" w:eastAsia="宋体"/>
          <w:color w:val="000000" w:themeColor="text1"/>
          <w14:textFill>
            <w14:solidFill>
              <w14:schemeClr w14:val="tx1"/>
            </w14:solidFill>
          </w14:textFill>
        </w:rPr>
        <w:t>3.2 详细评审</w:t>
      </w:r>
      <w:bookmarkEnd w:id="619"/>
      <w:bookmarkEnd w:id="620"/>
      <w:bookmarkEnd w:id="621"/>
      <w:bookmarkEnd w:id="622"/>
      <w:bookmarkEnd w:id="623"/>
      <w:bookmarkEnd w:id="624"/>
      <w:bookmarkEnd w:id="625"/>
      <w:bookmarkEnd w:id="626"/>
    </w:p>
    <w:p w14:paraId="4AA3F62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3.2.1 评标委员会按本章第2.2款规定的量化因素和分值进行打分，并计算出综合评估得分。</w:t>
      </w:r>
    </w:p>
    <w:p w14:paraId="015088F8">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（1）按本章第2.2.4（1）目规定的评审因素和分值对技术资信标计算出得分A；</w:t>
      </w:r>
    </w:p>
    <w:p w14:paraId="595CD52A">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（2）按本章第2.2.4（3）目规定的评审因素和分值对商务标（投标报价）计算出得分B；</w:t>
      </w:r>
    </w:p>
    <w:p w14:paraId="08B39D2A">
      <w:pPr>
        <w:spacing w:line="360" w:lineRule="auto"/>
        <w:ind w:firstLine="718" w:firstLineChars="342"/>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（3）按本章第2.2.4（4）目规定的评审因素和分值对其他部分计算出得分C。</w:t>
      </w:r>
    </w:p>
    <w:p w14:paraId="15C99F84">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3.2.2 评分分值计算保留小数点后两位，小数点后第三位“四舍五入”。</w:t>
      </w:r>
    </w:p>
    <w:p w14:paraId="4549968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3.2.3 投标人得分：见评标办法前附表。</w:t>
      </w:r>
    </w:p>
    <w:p w14:paraId="567FB28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应当否决其投标。</w:t>
      </w:r>
    </w:p>
    <w:p w14:paraId="68E592BF">
      <w:pPr>
        <w:pStyle w:val="24"/>
        <w:spacing w:line="360" w:lineRule="auto"/>
        <w:outlineLvl w:val="0"/>
        <w:rPr>
          <w:rFonts w:hint="eastAsia" w:ascii="宋体" w:hAnsi="宋体" w:eastAsia="宋体"/>
          <w:color w:val="000000" w:themeColor="text1"/>
          <w14:textFill>
            <w14:solidFill>
              <w14:schemeClr w14:val="tx1"/>
            </w14:solidFill>
          </w14:textFill>
        </w:rPr>
      </w:pPr>
      <w:bookmarkStart w:id="627" w:name="_Toc144974575"/>
      <w:bookmarkStart w:id="628" w:name="_Toc149206291"/>
      <w:bookmarkStart w:id="629" w:name="_Toc23770"/>
      <w:bookmarkStart w:id="630" w:name="_Toc34744611"/>
      <w:bookmarkStart w:id="631" w:name="_Toc152045607"/>
      <w:bookmarkStart w:id="632" w:name="_Toc11212"/>
      <w:bookmarkStart w:id="633" w:name="_Toc34814241"/>
      <w:bookmarkStart w:id="634" w:name="_Toc152042385"/>
      <w:r>
        <w:rPr>
          <w:rFonts w:hint="eastAsia" w:ascii="宋体" w:hAnsi="宋体" w:eastAsia="宋体"/>
          <w:color w:val="000000" w:themeColor="text1"/>
          <w14:textFill>
            <w14:solidFill>
              <w14:schemeClr w14:val="tx1"/>
            </w14:solidFill>
          </w14:textFill>
        </w:rPr>
        <w:t>3.3 投标文件的澄清</w:t>
      </w:r>
      <w:bookmarkEnd w:id="627"/>
      <w:r>
        <w:rPr>
          <w:rFonts w:hint="eastAsia" w:ascii="宋体" w:hAnsi="宋体" w:eastAsia="宋体"/>
          <w:color w:val="000000" w:themeColor="text1"/>
          <w14:textFill>
            <w14:solidFill>
              <w14:schemeClr w14:val="tx1"/>
            </w14:solidFill>
          </w14:textFill>
        </w:rPr>
        <w:t>和补正</w:t>
      </w:r>
      <w:bookmarkEnd w:id="628"/>
      <w:bookmarkEnd w:id="629"/>
      <w:bookmarkEnd w:id="630"/>
      <w:bookmarkEnd w:id="631"/>
      <w:bookmarkEnd w:id="632"/>
      <w:bookmarkEnd w:id="633"/>
      <w:bookmarkEnd w:id="634"/>
    </w:p>
    <w:p w14:paraId="1BD34A23">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14:paraId="070A357D">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3.3.2 澄清、说明和补正不得改变投标文件的实质性内容（算术性错误修正的除外）。投标人的书面澄清、说明和补正属于投标文件的组成部分。</w:t>
      </w:r>
    </w:p>
    <w:p w14:paraId="0FBB4B5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3.3.3 评标委员会对投标人提交的澄清、说明或补正有疑问的，可以要求投标人进一步澄清、说明或补正，直至满足评标委员会的要求。</w:t>
      </w:r>
    </w:p>
    <w:p w14:paraId="4BA00215">
      <w:pPr>
        <w:pStyle w:val="24"/>
        <w:spacing w:line="360" w:lineRule="auto"/>
        <w:outlineLvl w:val="0"/>
        <w:rPr>
          <w:rFonts w:hint="eastAsia" w:ascii="宋体" w:hAnsi="宋体" w:eastAsia="宋体"/>
          <w:color w:val="000000" w:themeColor="text1"/>
          <w14:textFill>
            <w14:solidFill>
              <w14:schemeClr w14:val="tx1"/>
            </w14:solidFill>
          </w14:textFill>
        </w:rPr>
      </w:pPr>
      <w:bookmarkStart w:id="635" w:name="_Toc144974576"/>
      <w:bookmarkStart w:id="636" w:name="_Toc12193"/>
      <w:bookmarkStart w:id="637" w:name="_Toc32073"/>
      <w:bookmarkStart w:id="638" w:name="_Toc152042386"/>
      <w:bookmarkStart w:id="639" w:name="_Toc34744612"/>
      <w:bookmarkStart w:id="640" w:name="_Toc152045608"/>
      <w:bookmarkStart w:id="641" w:name="_Toc149206292"/>
      <w:bookmarkStart w:id="642" w:name="_Toc34814242"/>
      <w:r>
        <w:rPr>
          <w:rFonts w:hint="eastAsia" w:ascii="宋体" w:hAnsi="宋体" w:eastAsia="宋体"/>
          <w:color w:val="000000" w:themeColor="text1"/>
          <w14:textFill>
            <w14:solidFill>
              <w14:schemeClr w14:val="tx1"/>
            </w14:solidFill>
          </w14:textFill>
        </w:rPr>
        <w:t>3.4 评标结果</w:t>
      </w:r>
      <w:bookmarkEnd w:id="635"/>
      <w:bookmarkEnd w:id="636"/>
      <w:bookmarkEnd w:id="637"/>
      <w:bookmarkEnd w:id="638"/>
      <w:bookmarkEnd w:id="639"/>
      <w:bookmarkEnd w:id="640"/>
      <w:bookmarkEnd w:id="641"/>
      <w:bookmarkEnd w:id="642"/>
    </w:p>
    <w:p w14:paraId="15391891">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3.4.1除第二章“投标人须知”前附表授权直接确定中标人外，评标委员会按照得分由高到低的顺序推荐中标候选人。</w:t>
      </w:r>
    </w:p>
    <w:p w14:paraId="57783139">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3.4.2 评标委员会完成评标后，应当向招标人提交书面评标报告。</w:t>
      </w:r>
    </w:p>
    <w:p w14:paraId="019CE4F8">
      <w:pPr>
        <w:spacing w:line="360" w:lineRule="auto"/>
        <w:contextualSpacing/>
        <w:jc w:val="left"/>
        <w:outlineLvl w:val="0"/>
        <w:rPr>
          <w:rFonts w:hint="eastAsia" w:ascii="宋体" w:hAnsi="宋体"/>
          <w:color w:val="000000" w:themeColor="text1"/>
          <w:sz w:val="24"/>
          <w14:textFill>
            <w14:solidFill>
              <w14:schemeClr w14:val="tx1"/>
            </w14:solidFill>
          </w14:textFill>
        </w:rPr>
      </w:pPr>
      <w:r>
        <w:rPr>
          <w:rStyle w:val="21"/>
          <w:rFonts w:ascii="宋体" w:hAnsi="宋体"/>
          <w:color w:val="000000" w:themeColor="text1"/>
          <w:sz w:val="30"/>
          <w:szCs w:val="30"/>
          <w14:textFill>
            <w14:solidFill>
              <w14:schemeClr w14:val="tx1"/>
            </w14:solidFill>
          </w14:textFill>
        </w:rPr>
        <w:br w:type="page"/>
      </w:r>
      <w:r>
        <w:rPr>
          <w:rStyle w:val="21"/>
          <w:rFonts w:hint="eastAsia" w:ascii="宋体" w:hAnsi="宋体"/>
          <w:color w:val="000000" w:themeColor="text1"/>
          <w:sz w:val="30"/>
          <w:szCs w:val="30"/>
          <w:u w:val="none"/>
          <w14:textFill>
            <w14:solidFill>
              <w14:schemeClr w14:val="tx1"/>
            </w14:solidFill>
          </w14:textFill>
        </w:rPr>
        <w:t xml:space="preserve">        </w:t>
      </w:r>
      <w:r>
        <w:rPr>
          <w:rFonts w:hint="eastAsia" w:ascii="宋体" w:hAnsi="宋体"/>
          <w:b/>
          <w:bCs/>
          <w:color w:val="000000" w:themeColor="text1"/>
          <w:sz w:val="32"/>
          <w14:textFill>
            <w14:solidFill>
              <w14:schemeClr w14:val="tx1"/>
            </w14:solidFill>
          </w14:textFill>
        </w:rPr>
        <w:t xml:space="preserve">        </w:t>
      </w:r>
      <w:bookmarkStart w:id="643" w:name="_Toc149206293"/>
      <w:bookmarkStart w:id="644" w:name="_Toc10619"/>
      <w:r>
        <w:rPr>
          <w:rStyle w:val="26"/>
          <w:color w:val="000000" w:themeColor="text1"/>
          <w14:textFill>
            <w14:solidFill>
              <w14:schemeClr w14:val="tx1"/>
            </w14:solidFill>
          </w14:textFill>
        </w:rPr>
        <w:t>第四章 合同条款及格式</w:t>
      </w:r>
      <w:bookmarkEnd w:id="643"/>
      <w:r>
        <w:rPr>
          <w:rStyle w:val="26"/>
          <w:rFonts w:hint="eastAsia" w:eastAsia="宋体"/>
          <w:color w:val="000000" w:themeColor="text1"/>
          <w:lang w:val="en-US" w:eastAsia="zh-CN"/>
          <w14:textFill>
            <w14:solidFill>
              <w14:schemeClr w14:val="tx1"/>
            </w14:solidFill>
          </w14:textFill>
        </w:rPr>
        <w:t xml:space="preserve">            </w:t>
      </w:r>
      <w:r>
        <w:rPr>
          <w:rFonts w:hint="eastAsia" w:ascii="宋体" w:hAnsi="宋体" w:cs="楷体"/>
          <w:b/>
          <w:color w:val="000000" w:themeColor="text1"/>
          <w:kern w:val="0"/>
          <w:sz w:val="28"/>
          <w:szCs w:val="28"/>
          <w14:textFill>
            <w14:solidFill>
              <w14:schemeClr w14:val="tx1"/>
            </w14:solidFill>
          </w14:textFill>
        </w:rPr>
        <w:t>合同编号：</w:t>
      </w:r>
      <w:r>
        <w:rPr>
          <w:rFonts w:ascii="宋体" w:hAnsi="宋体"/>
          <w:color w:val="000000" w:themeColor="text1"/>
          <w:sz w:val="28"/>
          <w:szCs w:val="28"/>
          <w14:textFill>
            <w14:solidFill>
              <w14:schemeClr w14:val="tx1"/>
            </w14:solidFill>
          </w14:textFill>
        </w:rPr>
        <w:fldChar w:fldCharType="begin">
          <w:ffData>
            <w:enabled/>
            <w:calcOnExit w:val="0"/>
            <w:textInput/>
          </w:ffData>
        </w:fldChar>
      </w:r>
      <w:r>
        <w:rPr>
          <w:rFonts w:ascii="宋体" w:hAnsi="宋体"/>
          <w:color w:val="000000" w:themeColor="text1"/>
          <w:sz w:val="28"/>
          <w:szCs w:val="28"/>
          <w14:textFill>
            <w14:solidFill>
              <w14:schemeClr w14:val="tx1"/>
            </w14:solidFill>
          </w14:textFill>
        </w:rPr>
        <w:instrText xml:space="preserve"> FORMTEXT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w:t>
      </w:r>
      <w:r>
        <w:rPr>
          <w:rFonts w:ascii="宋体" w:hAnsi="宋体"/>
          <w:color w:val="000000" w:themeColor="text1"/>
          <w:sz w:val="28"/>
          <w:szCs w:val="28"/>
          <w14:textFill>
            <w14:solidFill>
              <w14:schemeClr w14:val="tx1"/>
            </w14:solidFill>
          </w14:textFill>
        </w:rPr>
        <w:fldChar w:fldCharType="end"/>
      </w:r>
      <w:bookmarkEnd w:id="644"/>
    </w:p>
    <w:p w14:paraId="1BC6DF32">
      <w:pPr>
        <w:pStyle w:val="10"/>
        <w:snapToGrid w:val="0"/>
        <w:spacing w:before="156" w:after="156" w:line="360" w:lineRule="auto"/>
        <w:jc w:val="center"/>
        <w:rPr>
          <w:rFonts w:hAnsi="宋体"/>
          <w:b/>
          <w:color w:val="000000" w:themeColor="text1"/>
          <w:sz w:val="30"/>
          <w14:textFill>
            <w14:solidFill>
              <w14:schemeClr w14:val="tx1"/>
            </w14:solidFill>
          </w14:textFill>
        </w:rPr>
      </w:pPr>
      <w:r>
        <w:rPr>
          <w:rFonts w:hint="eastAsia" w:hAnsi="宋体"/>
          <w:b/>
          <w:color w:val="000000" w:themeColor="text1"/>
          <w:sz w:val="30"/>
          <w14:textFill>
            <w14:solidFill>
              <w14:schemeClr w14:val="tx1"/>
            </w14:solidFill>
          </w14:textFill>
        </w:rPr>
        <w:t>合同样本</w:t>
      </w:r>
    </w:p>
    <w:p w14:paraId="3E5050C6">
      <w:pPr>
        <w:pStyle w:val="7"/>
        <w:spacing w:before="101" w:line="224" w:lineRule="auto"/>
        <w:ind w:left="0"/>
        <w:jc w:val="center"/>
        <w:outlineLvl w:val="0"/>
        <w:rPr>
          <w:b/>
          <w:bCs/>
          <w:spacing w:val="4"/>
          <w:sz w:val="31"/>
          <w:szCs w:val="31"/>
        </w:rPr>
      </w:pPr>
      <w:bookmarkStart w:id="645" w:name="_Toc8208"/>
      <w:r>
        <w:rPr>
          <w:rFonts w:hint="eastAsia" w:ascii="黑体" w:hAnsi="黑体" w:eastAsia="黑体" w:cs="黑体"/>
          <w:b/>
          <w:bCs/>
          <w:spacing w:val="4"/>
          <w:sz w:val="44"/>
          <w:szCs w:val="44"/>
        </w:rPr>
        <w:t>商品</w:t>
      </w:r>
      <w:r>
        <w:rPr>
          <w:rFonts w:hint="eastAsia" w:ascii="黑体" w:hAnsi="黑体" w:eastAsia="黑体" w:cs="黑体"/>
          <w:b/>
          <w:bCs/>
          <w:spacing w:val="4"/>
          <w:sz w:val="44"/>
          <w:szCs w:val="44"/>
          <w:lang w:val="en-US" w:eastAsia="zh-CN"/>
        </w:rPr>
        <w:t>混凝土</w:t>
      </w:r>
      <w:r>
        <w:rPr>
          <w:rFonts w:hint="eastAsia" w:ascii="黑体" w:hAnsi="黑体" w:eastAsia="黑体" w:cs="黑体"/>
          <w:b/>
          <w:bCs/>
          <w:spacing w:val="4"/>
          <w:sz w:val="44"/>
          <w:szCs w:val="44"/>
        </w:rPr>
        <w:t>采购合同</w:t>
      </w:r>
      <w:bookmarkEnd w:id="645"/>
    </w:p>
    <w:p w14:paraId="5580045C">
      <w:pPr>
        <w:pStyle w:val="7"/>
        <w:wordWrap/>
        <w:spacing w:before="101" w:line="224" w:lineRule="auto"/>
        <w:ind w:left="3532"/>
        <w:jc w:val="center"/>
        <w:outlineLvl w:val="0"/>
        <w:rPr>
          <w:rFonts w:hint="eastAsia" w:cs="宋体"/>
          <w:b/>
          <w:bCs/>
          <w:spacing w:val="-3"/>
          <w:sz w:val="21"/>
          <w:szCs w:val="21"/>
          <w:lang w:val="en-US" w:eastAsia="zh-CN"/>
        </w:rPr>
      </w:pPr>
      <w:r>
        <w:rPr>
          <w:rFonts w:hint="eastAsia" w:cs="宋体"/>
          <w:b/>
          <w:bCs/>
          <w:spacing w:val="-3"/>
          <w:sz w:val="24"/>
          <w:szCs w:val="24"/>
          <w:lang w:val="en-US" w:eastAsia="zh-CN"/>
        </w:rPr>
        <w:t xml:space="preserve">            </w:t>
      </w:r>
      <w:r>
        <w:rPr>
          <w:rFonts w:hint="eastAsia" w:cs="宋体"/>
          <w:b/>
          <w:bCs/>
          <w:spacing w:val="-3"/>
          <w:sz w:val="21"/>
          <w:szCs w:val="21"/>
          <w:lang w:val="en-US" w:eastAsia="zh-CN"/>
        </w:rPr>
        <w:t xml:space="preserve">  </w:t>
      </w:r>
    </w:p>
    <w:p w14:paraId="351A41B5">
      <w:pPr>
        <w:pStyle w:val="7"/>
        <w:wordWrap/>
        <w:spacing w:before="101" w:line="224" w:lineRule="auto"/>
        <w:ind w:left="3532"/>
        <w:jc w:val="center"/>
        <w:outlineLvl w:val="0"/>
        <w:rPr>
          <w:rFonts w:hint="default" w:eastAsia="宋体"/>
          <w:b/>
          <w:bCs/>
          <w:spacing w:val="4"/>
          <w:sz w:val="31"/>
          <w:szCs w:val="31"/>
          <w:lang w:val="en-US" w:eastAsia="zh-CN"/>
        </w:rPr>
      </w:pPr>
      <w:r>
        <w:rPr>
          <w:rFonts w:hint="eastAsia" w:cs="宋体"/>
          <w:b/>
          <w:bCs/>
          <w:spacing w:val="-3"/>
          <w:sz w:val="21"/>
          <w:szCs w:val="21"/>
          <w:lang w:val="en-US" w:eastAsia="zh-CN"/>
        </w:rPr>
        <w:t xml:space="preserve">                           </w:t>
      </w:r>
      <w:bookmarkStart w:id="646" w:name="_Toc8150"/>
      <w:r>
        <w:rPr>
          <w:rFonts w:hint="default" w:ascii="宋体" w:hAnsi="宋体" w:eastAsia="宋体" w:cs="宋体"/>
          <w:b/>
          <w:bCs/>
          <w:spacing w:val="-3"/>
          <w:sz w:val="21"/>
          <w:szCs w:val="21"/>
          <w:lang w:val="en-US" w:eastAsia="en-US"/>
        </w:rPr>
        <w:t>合同编号：</w:t>
      </w:r>
      <w:bookmarkEnd w:id="646"/>
    </w:p>
    <w:p w14:paraId="131E0A90">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ascii="Arial"/>
          <w:sz w:val="21"/>
        </w:rPr>
      </w:pPr>
    </w:p>
    <w:p w14:paraId="21A647AC">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9" w:right="0" w:firstLine="11"/>
        <w:jc w:val="both"/>
        <w:textAlignment w:val="baseline"/>
        <w:rPr>
          <w:spacing w:val="12"/>
        </w:rPr>
      </w:pPr>
      <w:r>
        <w:rPr>
          <w:b/>
          <w:bCs/>
          <w:spacing w:val="6"/>
        </w:rPr>
        <w:t>需方：</w:t>
      </w:r>
      <w:r>
        <w:rPr>
          <w:spacing w:val="6"/>
          <w:u w:val="single" w:color="auto"/>
        </w:rPr>
        <w:t xml:space="preserve">  </w:t>
      </w:r>
      <w:r>
        <w:rPr>
          <w:rFonts w:hint="eastAsia"/>
          <w:b/>
          <w:bCs/>
          <w:spacing w:val="6"/>
          <w:u w:val="single" w:color="auto"/>
        </w:rPr>
        <w:t>温州市市政工程建设开发有限公司</w:t>
      </w:r>
      <w:r>
        <w:rPr>
          <w:spacing w:val="6"/>
          <w:u w:val="single" w:color="auto"/>
        </w:rPr>
        <w:t xml:space="preserve">  </w:t>
      </w:r>
      <w:r>
        <w:rPr>
          <w:b/>
          <w:bCs/>
          <w:spacing w:val="6"/>
        </w:rPr>
        <w:t>（以下简称甲方）</w:t>
      </w:r>
      <w:r>
        <w:rPr>
          <w:spacing w:val="12"/>
        </w:rPr>
        <w:t xml:space="preserve"> </w:t>
      </w:r>
    </w:p>
    <w:p w14:paraId="246656BA">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159" w:right="0" w:firstLine="11"/>
        <w:jc w:val="both"/>
        <w:textAlignment w:val="baseline"/>
      </w:pPr>
      <w:r>
        <w:rPr>
          <w:b/>
          <w:bCs/>
          <w:spacing w:val="9"/>
        </w:rPr>
        <w:t>供方</w:t>
      </w:r>
      <w:r>
        <w:rPr>
          <w:b/>
          <w:bCs/>
          <w:spacing w:val="-5"/>
        </w:rPr>
        <w:t>：</w:t>
      </w:r>
      <w:r>
        <w:rPr>
          <w:spacing w:val="5"/>
          <w:u w:val="single" w:color="auto"/>
        </w:rPr>
        <w:t xml:space="preserve">       </w:t>
      </w:r>
      <w:r>
        <w:rPr>
          <w:rFonts w:hint="eastAsia"/>
          <w:spacing w:val="5"/>
          <w:u w:val="single" w:color="auto"/>
          <w:lang w:val="en-US" w:eastAsia="zh-CN"/>
        </w:rPr>
        <w:t xml:space="preserve">                           </w:t>
      </w:r>
      <w:r>
        <w:rPr>
          <w:b/>
          <w:bCs/>
          <w:spacing w:val="-5"/>
        </w:rPr>
        <w:t>（</w:t>
      </w:r>
      <w:r>
        <w:rPr>
          <w:b/>
          <w:bCs/>
          <w:spacing w:val="9"/>
        </w:rPr>
        <w:t>以下简称乙方）</w:t>
      </w:r>
    </w:p>
    <w:p w14:paraId="42139962">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156"/>
        <w:jc w:val="both"/>
        <w:textAlignment w:val="baseline"/>
      </w:pPr>
      <w:r>
        <w:rPr>
          <w:b/>
          <w:bCs/>
          <w:spacing w:val="5"/>
        </w:rPr>
        <w:t>签订地点：</w:t>
      </w:r>
      <w:r>
        <w:rPr>
          <w:color w:val="3E3E3E"/>
          <w:spacing w:val="5"/>
          <w:u w:val="single" w:color="auto"/>
        </w:rPr>
        <w:t xml:space="preserve"> </w:t>
      </w:r>
      <w:r>
        <w:rPr>
          <w:rFonts w:hint="eastAsia"/>
          <w:b/>
          <w:bCs/>
          <w:spacing w:val="6"/>
          <w:u w:val="single" w:color="auto"/>
          <w:lang w:val="en-US" w:eastAsia="zh-CN"/>
        </w:rPr>
        <w:t xml:space="preserve"> 浙江省温州市鹿城区</w:t>
      </w:r>
      <w:r>
        <w:rPr>
          <w:color w:val="3E3E3E"/>
          <w:spacing w:val="5"/>
          <w:u w:val="single" w:color="auto"/>
        </w:rPr>
        <w:t xml:space="preserve">      </w:t>
      </w:r>
      <w:r>
        <w:rPr>
          <w:color w:val="3E3E3E"/>
          <w:spacing w:val="-76"/>
        </w:rPr>
        <w:t xml:space="preserve"> </w:t>
      </w:r>
      <w:r>
        <w:rPr>
          <w:rFonts w:hint="eastAsia"/>
          <w:color w:val="3E3E3E"/>
          <w:spacing w:val="-76"/>
          <w:lang w:val="en-US" w:eastAsia="zh-CN"/>
        </w:rPr>
        <w:t xml:space="preserve">                                 </w:t>
      </w:r>
      <w:r>
        <w:rPr>
          <w:b/>
          <w:bCs/>
          <w:spacing w:val="5"/>
        </w:rPr>
        <w:t>签订时间：</w:t>
      </w:r>
      <w:r>
        <w:rPr>
          <w:spacing w:val="5"/>
          <w:u w:val="single" w:color="auto"/>
        </w:rPr>
        <w:t xml:space="preserve">      </w:t>
      </w:r>
      <w:r>
        <w:rPr>
          <w:spacing w:val="-91"/>
        </w:rPr>
        <w:t xml:space="preserve"> </w:t>
      </w:r>
      <w:r>
        <w:rPr>
          <w:b/>
          <w:bCs/>
          <w:color w:val="3E3E3E"/>
          <w:spacing w:val="5"/>
        </w:rPr>
        <w:t>年</w:t>
      </w:r>
      <w:r>
        <w:rPr>
          <w:color w:val="3E3E3E"/>
          <w:spacing w:val="-98"/>
        </w:rPr>
        <w:t xml:space="preserve"> </w:t>
      </w:r>
      <w:r>
        <w:rPr>
          <w:color w:val="3E3E3E"/>
          <w:spacing w:val="5"/>
          <w:u w:val="single" w:color="000000"/>
        </w:rPr>
        <w:t xml:space="preserve">     </w:t>
      </w:r>
      <w:r>
        <w:rPr>
          <w:color w:val="3E3E3E"/>
          <w:spacing w:val="-86"/>
        </w:rPr>
        <w:t xml:space="preserve"> </w:t>
      </w:r>
      <w:r>
        <w:rPr>
          <w:b/>
          <w:bCs/>
          <w:color w:val="3E3E3E"/>
          <w:spacing w:val="5"/>
        </w:rPr>
        <w:t>月</w:t>
      </w:r>
      <w:r>
        <w:rPr>
          <w:color w:val="3E3E3E"/>
          <w:spacing w:val="5"/>
          <w:u w:val="single" w:color="000000"/>
        </w:rPr>
        <w:t xml:space="preserve">   </w:t>
      </w:r>
      <w:r>
        <w:rPr>
          <w:rFonts w:hint="eastAsia"/>
          <w:color w:val="3E3E3E"/>
          <w:spacing w:val="5"/>
          <w:u w:val="single" w:color="000000"/>
          <w:lang w:val="en-US" w:eastAsia="zh-CN"/>
        </w:rPr>
        <w:t xml:space="preserve"> </w:t>
      </w:r>
      <w:r>
        <w:rPr>
          <w:color w:val="3E3E3E"/>
          <w:spacing w:val="5"/>
          <w:u w:val="single" w:color="000000"/>
        </w:rPr>
        <w:t xml:space="preserve">  </w:t>
      </w:r>
      <w:r>
        <w:rPr>
          <w:color w:val="3E3E3E"/>
          <w:spacing w:val="-55"/>
        </w:rPr>
        <w:t xml:space="preserve"> </w:t>
      </w:r>
      <w:r>
        <w:rPr>
          <w:b/>
          <w:bCs/>
          <w:color w:val="3E3E3E"/>
          <w:spacing w:val="5"/>
        </w:rPr>
        <w:t>日</w:t>
      </w:r>
    </w:p>
    <w:p w14:paraId="719BF007">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174" w:right="52" w:firstLine="419"/>
        <w:jc w:val="both"/>
        <w:textAlignment w:val="baseline"/>
        <w:rPr>
          <w:color w:val="auto"/>
        </w:rPr>
      </w:pPr>
      <w:r>
        <w:rPr>
          <w:color w:val="auto"/>
          <w:spacing w:val="7"/>
        </w:rPr>
        <w:t>因甲方</w:t>
      </w:r>
      <w:r>
        <w:rPr>
          <w:rFonts w:hint="eastAsia"/>
          <w:color w:val="auto"/>
          <w:spacing w:val="7"/>
          <w:lang w:val="en-US" w:eastAsia="zh-CN"/>
        </w:rPr>
        <w:t>承包施工的</w:t>
      </w:r>
      <w:r>
        <w:rPr>
          <w:rFonts w:hint="eastAsia"/>
          <w:color w:val="auto"/>
          <w:spacing w:val="7"/>
          <w:u w:val="single" w:color="auto"/>
          <w:lang w:val="en-US" w:eastAsia="zh-CN"/>
        </w:rPr>
        <w:t xml:space="preserve">             </w:t>
      </w:r>
      <w:r>
        <w:rPr>
          <w:rFonts w:hint="eastAsia"/>
          <w:color w:val="auto"/>
          <w:spacing w:val="7"/>
          <w:u w:val="none" w:color="auto"/>
          <w:lang w:val="en-US" w:eastAsia="zh-CN"/>
        </w:rPr>
        <w:t>项目</w:t>
      </w:r>
      <w:r>
        <w:rPr>
          <w:rFonts w:hint="eastAsia"/>
          <w:color w:val="auto"/>
          <w:spacing w:val="-75"/>
          <w:u w:val="none" w:color="auto"/>
          <w:lang w:val="en-US" w:eastAsia="zh-CN"/>
        </w:rPr>
        <w:t xml:space="preserve"> </w:t>
      </w:r>
      <w:r>
        <w:rPr>
          <w:color w:val="auto"/>
          <w:spacing w:val="7"/>
        </w:rPr>
        <w:t>需要向乙方采购</w:t>
      </w:r>
      <w:r>
        <w:rPr>
          <w:rFonts w:hint="eastAsia"/>
          <w:color w:val="auto"/>
          <w:spacing w:val="7"/>
          <w:lang w:val="en-US" w:eastAsia="zh-CN"/>
        </w:rPr>
        <w:t>商品混凝土</w:t>
      </w:r>
      <w:r>
        <w:rPr>
          <w:color w:val="auto"/>
          <w:spacing w:val="7"/>
        </w:rPr>
        <w:t>，甲、乙双方依</w:t>
      </w:r>
      <w:r>
        <w:rPr>
          <w:rFonts w:hint="eastAsia"/>
          <w:color w:val="auto"/>
          <w:spacing w:val="7"/>
          <w:lang w:val="en-US" w:eastAsia="zh-CN"/>
        </w:rPr>
        <w:t>据</w:t>
      </w:r>
      <w:r>
        <w:rPr>
          <w:color w:val="auto"/>
          <w:spacing w:val="7"/>
        </w:rPr>
        <w:t>《</w:t>
      </w:r>
      <w:r>
        <w:rPr>
          <w:rFonts w:hint="eastAsia"/>
          <w:color w:val="auto"/>
          <w:spacing w:val="6"/>
          <w:lang w:val="en-US" w:eastAsia="zh-CN"/>
        </w:rPr>
        <w:t>中华人民共和国</w:t>
      </w:r>
      <w:r>
        <w:rPr>
          <w:color w:val="auto"/>
          <w:spacing w:val="6"/>
        </w:rPr>
        <w:t>民法典</w:t>
      </w:r>
      <w:r>
        <w:rPr>
          <w:color w:val="auto"/>
          <w:spacing w:val="7"/>
        </w:rPr>
        <w:t>》及其它相关法律法规的有关规定，本着平等、</w:t>
      </w:r>
      <w:r>
        <w:rPr>
          <w:color w:val="auto"/>
          <w:spacing w:val="-51"/>
        </w:rPr>
        <w:t xml:space="preserve"> </w:t>
      </w:r>
      <w:r>
        <w:rPr>
          <w:color w:val="auto"/>
          <w:spacing w:val="7"/>
        </w:rPr>
        <w:t>自愿和诚实信用的原则，就甲方向乙方购买</w:t>
      </w:r>
      <w:r>
        <w:rPr>
          <w:rFonts w:hint="eastAsia"/>
          <w:color w:val="auto"/>
          <w:spacing w:val="7"/>
          <w:lang w:val="en-US" w:eastAsia="zh-CN"/>
        </w:rPr>
        <w:t>商品混凝土</w:t>
      </w:r>
      <w:r>
        <w:rPr>
          <w:color w:val="auto"/>
          <w:spacing w:val="7"/>
        </w:rPr>
        <w:t>事宜，议定如下条款：</w:t>
      </w:r>
    </w:p>
    <w:p w14:paraId="03C37712">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firstLine="454" w:firstLineChars="200"/>
        <w:jc w:val="both"/>
        <w:textAlignment w:val="baseline"/>
        <w:outlineLvl w:val="1"/>
      </w:pPr>
      <w:bookmarkStart w:id="647" w:name="_Toc1571"/>
      <w:r>
        <w:rPr>
          <w:b/>
          <w:bCs/>
          <w:spacing w:val="8"/>
        </w:rPr>
        <w:t>第一条：产品名称、</w:t>
      </w:r>
      <w:r>
        <w:rPr>
          <w:rFonts w:hint="eastAsia"/>
          <w:b/>
          <w:bCs/>
          <w:spacing w:val="8"/>
          <w:lang w:val="en-US" w:eastAsia="zh-CN"/>
        </w:rPr>
        <w:t>规格</w:t>
      </w:r>
      <w:r>
        <w:rPr>
          <w:b/>
          <w:bCs/>
          <w:spacing w:val="8"/>
        </w:rPr>
        <w:t>、数量、金额</w:t>
      </w:r>
      <w:bookmarkEnd w:id="647"/>
    </w:p>
    <w:p w14:paraId="131B1F62">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firstLine="448" w:firstLineChars="200"/>
        <w:jc w:val="both"/>
        <w:textAlignment w:val="baseline"/>
      </w:pPr>
      <w:r>
        <w:rPr>
          <w:spacing w:val="7"/>
        </w:rPr>
        <w:t>1.甲方拟向乙方购买的多规格</w:t>
      </w:r>
      <w:r>
        <w:rPr>
          <w:rFonts w:hint="eastAsia"/>
          <w:spacing w:val="7"/>
          <w:lang w:val="en-US" w:eastAsia="zh-CN"/>
        </w:rPr>
        <w:t>混凝土</w:t>
      </w:r>
      <w:r>
        <w:rPr>
          <w:spacing w:val="7"/>
        </w:rPr>
        <w:t>如下：</w:t>
      </w:r>
    </w:p>
    <w:p w14:paraId="4A754FC0">
      <w:pPr>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rPr>
          <w:rFonts w:ascii="Arial"/>
          <w:sz w:val="2"/>
        </w:rPr>
      </w:pPr>
    </w:p>
    <w:tbl>
      <w:tblPr>
        <w:tblStyle w:val="31"/>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5"/>
        <w:gridCol w:w="1883"/>
        <w:gridCol w:w="2063"/>
        <w:gridCol w:w="2052"/>
      </w:tblGrid>
      <w:tr w14:paraId="640A2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555" w:type="dxa"/>
            <w:vAlign w:val="top"/>
          </w:tcPr>
          <w:p w14:paraId="5113430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14:paraId="463EE758">
            <w:pPr>
              <w:keepNext w:val="0"/>
              <w:keepLines w:val="0"/>
              <w:pageBreakBefore w:val="0"/>
              <w:widowControl/>
              <w:kinsoku w:val="0"/>
              <w:wordWrap/>
              <w:overflowPunct/>
              <w:topLinePunct w:val="0"/>
              <w:autoSpaceDE w:val="0"/>
              <w:autoSpaceDN w:val="0"/>
              <w:bidi w:val="0"/>
              <w:adjustRightInd w:val="0"/>
              <w:snapToGrid w:val="0"/>
              <w:spacing w:before="65" w:line="300" w:lineRule="auto"/>
              <w:ind w:left="864"/>
              <w:jc w:val="both"/>
              <w:textAlignment w:val="baseline"/>
              <w:rPr>
                <w:rFonts w:ascii="宋体" w:hAnsi="宋体" w:eastAsia="宋体" w:cs="宋体"/>
                <w:sz w:val="20"/>
                <w:szCs w:val="20"/>
              </w:rPr>
            </w:pPr>
            <w:r>
              <w:rPr>
                <w:rFonts w:ascii="宋体" w:hAnsi="宋体" w:eastAsia="宋体" w:cs="宋体"/>
                <w:spacing w:val="7"/>
                <w:sz w:val="20"/>
                <w:szCs w:val="20"/>
              </w:rPr>
              <w:t>材料名称</w:t>
            </w:r>
          </w:p>
        </w:tc>
        <w:tc>
          <w:tcPr>
            <w:tcW w:w="1883" w:type="dxa"/>
            <w:vAlign w:val="top"/>
          </w:tcPr>
          <w:p w14:paraId="625B163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14:paraId="25D7F988">
            <w:pPr>
              <w:keepNext w:val="0"/>
              <w:keepLines w:val="0"/>
              <w:pageBreakBefore w:val="0"/>
              <w:widowControl/>
              <w:kinsoku w:val="0"/>
              <w:wordWrap/>
              <w:overflowPunct/>
              <w:topLinePunct w:val="0"/>
              <w:autoSpaceDE w:val="0"/>
              <w:autoSpaceDN w:val="0"/>
              <w:bidi w:val="0"/>
              <w:adjustRightInd w:val="0"/>
              <w:snapToGrid w:val="0"/>
              <w:spacing w:before="65" w:line="300" w:lineRule="auto"/>
              <w:ind w:left="533"/>
              <w:jc w:val="both"/>
              <w:textAlignment w:val="baseline"/>
              <w:rPr>
                <w:rFonts w:ascii="宋体" w:hAnsi="宋体" w:eastAsia="宋体" w:cs="宋体"/>
                <w:sz w:val="20"/>
                <w:szCs w:val="20"/>
              </w:rPr>
            </w:pPr>
            <w:r>
              <w:rPr>
                <w:rFonts w:ascii="宋体" w:hAnsi="宋体" w:eastAsia="宋体" w:cs="宋体"/>
                <w:spacing w:val="5"/>
                <w:sz w:val="20"/>
                <w:szCs w:val="20"/>
              </w:rPr>
              <w:t>型号规格</w:t>
            </w:r>
          </w:p>
        </w:tc>
        <w:tc>
          <w:tcPr>
            <w:tcW w:w="2063" w:type="dxa"/>
            <w:vAlign w:val="top"/>
          </w:tcPr>
          <w:p w14:paraId="70B5F5E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14:paraId="67652C27">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color w:val="auto"/>
                <w:spacing w:val="6"/>
                <w:sz w:val="20"/>
                <w:szCs w:val="20"/>
              </w:rPr>
              <w:t>采购数</w:t>
            </w:r>
            <w:r>
              <w:rPr>
                <w:rFonts w:ascii="宋体" w:hAnsi="宋体" w:eastAsia="宋体" w:cs="宋体"/>
                <w:spacing w:val="6"/>
                <w:sz w:val="20"/>
                <w:szCs w:val="20"/>
              </w:rPr>
              <w:t>量（m</w:t>
            </w:r>
            <w:r>
              <w:rPr>
                <w:rFonts w:ascii="宋体" w:hAnsi="宋体" w:eastAsia="宋体" w:cs="宋体"/>
                <w:spacing w:val="6"/>
                <w:position w:val="10"/>
                <w:sz w:val="10"/>
                <w:szCs w:val="10"/>
              </w:rPr>
              <w:t>3</w:t>
            </w:r>
            <w:r>
              <w:rPr>
                <w:rFonts w:ascii="宋体" w:hAnsi="宋体" w:eastAsia="宋体" w:cs="宋体"/>
                <w:spacing w:val="6"/>
                <w:sz w:val="20"/>
                <w:szCs w:val="20"/>
              </w:rPr>
              <w:t>）</w:t>
            </w:r>
          </w:p>
        </w:tc>
        <w:tc>
          <w:tcPr>
            <w:tcW w:w="2052" w:type="dxa"/>
            <w:vAlign w:val="top"/>
          </w:tcPr>
          <w:p w14:paraId="1125166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p w14:paraId="76608209">
            <w:pPr>
              <w:keepNext w:val="0"/>
              <w:keepLines w:val="0"/>
              <w:pageBreakBefore w:val="0"/>
              <w:widowControl/>
              <w:kinsoku w:val="0"/>
              <w:wordWrap/>
              <w:overflowPunct/>
              <w:topLinePunct w:val="0"/>
              <w:autoSpaceDE w:val="0"/>
              <w:autoSpaceDN w:val="0"/>
              <w:bidi w:val="0"/>
              <w:adjustRightInd w:val="0"/>
              <w:snapToGrid w:val="0"/>
              <w:spacing w:before="65" w:line="300" w:lineRule="auto"/>
              <w:jc w:val="center"/>
              <w:textAlignment w:val="baseline"/>
              <w:rPr>
                <w:rFonts w:ascii="宋体" w:hAnsi="宋体" w:eastAsia="宋体" w:cs="宋体"/>
                <w:sz w:val="20"/>
                <w:szCs w:val="20"/>
              </w:rPr>
            </w:pPr>
            <w:r>
              <w:rPr>
                <w:rFonts w:ascii="宋体" w:hAnsi="宋体" w:eastAsia="宋体" w:cs="宋体"/>
                <w:spacing w:val="3"/>
                <w:sz w:val="20"/>
                <w:szCs w:val="20"/>
              </w:rPr>
              <w:t>备注</w:t>
            </w:r>
          </w:p>
        </w:tc>
      </w:tr>
      <w:tr w14:paraId="21C66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14:paraId="3BED99F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83" w:type="dxa"/>
            <w:vAlign w:val="top"/>
          </w:tcPr>
          <w:p w14:paraId="43DFBAD7">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63" w:type="dxa"/>
            <w:vAlign w:val="top"/>
          </w:tcPr>
          <w:p w14:paraId="5E223713">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52" w:type="dxa"/>
            <w:vAlign w:val="top"/>
          </w:tcPr>
          <w:p w14:paraId="05906015">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r>
      <w:tr w14:paraId="5F673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14:paraId="4866BB9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83" w:type="dxa"/>
            <w:vAlign w:val="top"/>
          </w:tcPr>
          <w:p w14:paraId="3909873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63" w:type="dxa"/>
            <w:vAlign w:val="top"/>
          </w:tcPr>
          <w:p w14:paraId="55800A5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52" w:type="dxa"/>
            <w:vAlign w:val="top"/>
          </w:tcPr>
          <w:p w14:paraId="2CD4FEAF">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r>
      <w:tr w14:paraId="5DD6B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14:paraId="304E501F">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83" w:type="dxa"/>
            <w:vAlign w:val="top"/>
          </w:tcPr>
          <w:p w14:paraId="6FDCA3B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63" w:type="dxa"/>
            <w:vAlign w:val="top"/>
          </w:tcPr>
          <w:p w14:paraId="2562D448">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52" w:type="dxa"/>
            <w:vAlign w:val="top"/>
          </w:tcPr>
          <w:p w14:paraId="5D08923C">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r>
      <w:tr w14:paraId="3002B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55" w:type="dxa"/>
            <w:vAlign w:val="top"/>
          </w:tcPr>
          <w:p w14:paraId="219D59B1">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83" w:type="dxa"/>
            <w:vAlign w:val="top"/>
          </w:tcPr>
          <w:p w14:paraId="2CEBF835">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63" w:type="dxa"/>
            <w:vAlign w:val="top"/>
          </w:tcPr>
          <w:p w14:paraId="1BF808A9">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52" w:type="dxa"/>
            <w:vAlign w:val="top"/>
          </w:tcPr>
          <w:p w14:paraId="6E3D7E9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r>
      <w:tr w14:paraId="5DF0D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55" w:type="dxa"/>
            <w:vAlign w:val="top"/>
          </w:tcPr>
          <w:p w14:paraId="32C3BC06">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1883" w:type="dxa"/>
            <w:vAlign w:val="top"/>
          </w:tcPr>
          <w:p w14:paraId="6CEB1D3E">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63" w:type="dxa"/>
            <w:vAlign w:val="top"/>
          </w:tcPr>
          <w:p w14:paraId="19C027F0">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c>
          <w:tcPr>
            <w:tcW w:w="2052" w:type="dxa"/>
            <w:vAlign w:val="top"/>
          </w:tcPr>
          <w:p w14:paraId="1DF50A24">
            <w:pPr>
              <w:pStyle w:val="30"/>
              <w:keepNext w:val="0"/>
              <w:keepLines w:val="0"/>
              <w:pageBreakBefore w:val="0"/>
              <w:widowControl/>
              <w:kinsoku w:val="0"/>
              <w:wordWrap/>
              <w:overflowPunct/>
              <w:topLinePunct w:val="0"/>
              <w:autoSpaceDE w:val="0"/>
              <w:autoSpaceDN w:val="0"/>
              <w:bidi w:val="0"/>
              <w:adjustRightInd w:val="0"/>
              <w:snapToGrid w:val="0"/>
              <w:spacing w:line="300" w:lineRule="auto"/>
              <w:jc w:val="both"/>
              <w:textAlignment w:val="baseline"/>
            </w:pPr>
          </w:p>
        </w:tc>
      </w:tr>
      <w:tr w14:paraId="5CCAF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553" w:type="dxa"/>
            <w:gridSpan w:val="4"/>
            <w:vAlign w:val="top"/>
          </w:tcPr>
          <w:p w14:paraId="4068AD89">
            <w:pPr>
              <w:keepNext w:val="0"/>
              <w:keepLines w:val="0"/>
              <w:pageBreakBefore w:val="0"/>
              <w:widowControl/>
              <w:kinsoku w:val="0"/>
              <w:wordWrap/>
              <w:overflowPunct/>
              <w:topLinePunct w:val="0"/>
              <w:autoSpaceDE w:val="0"/>
              <w:autoSpaceDN w:val="0"/>
              <w:bidi w:val="0"/>
              <w:adjustRightInd w:val="0"/>
              <w:snapToGrid w:val="0"/>
              <w:spacing w:before="144" w:line="300" w:lineRule="auto"/>
              <w:ind w:left="122"/>
              <w:jc w:val="both"/>
              <w:textAlignment w:val="baseline"/>
              <w:rPr>
                <w:rFonts w:hint="default" w:ascii="宋体" w:hAnsi="宋体" w:eastAsia="宋体" w:cs="宋体"/>
                <w:sz w:val="20"/>
                <w:szCs w:val="20"/>
                <w:lang w:val="en-US"/>
              </w:rPr>
            </w:pPr>
            <w:r>
              <w:rPr>
                <w:rFonts w:ascii="宋体" w:hAnsi="宋体" w:eastAsia="宋体" w:cs="宋体"/>
                <w:spacing w:val="5"/>
                <w:sz w:val="20"/>
                <w:szCs w:val="20"/>
              </w:rPr>
              <w:t>暂定含税合同总价</w:t>
            </w:r>
            <w:r>
              <w:rPr>
                <w:rFonts w:hint="eastAsia" w:ascii="宋体" w:hAnsi="宋体" w:eastAsia="宋体" w:cs="宋体"/>
                <w:spacing w:val="5"/>
                <w:sz w:val="20"/>
                <w:szCs w:val="20"/>
                <w:lang w:val="en-US" w:eastAsia="zh-CN"/>
              </w:rPr>
              <w:t>人民币</w:t>
            </w:r>
            <w:r>
              <w:rPr>
                <w:rFonts w:ascii="宋体" w:hAnsi="宋体" w:eastAsia="宋体" w:cs="宋体"/>
                <w:spacing w:val="5"/>
                <w:sz w:val="20"/>
                <w:szCs w:val="20"/>
              </w:rPr>
              <w:t>（大写</w:t>
            </w:r>
            <w:r>
              <w:rPr>
                <w:rFonts w:ascii="宋体" w:hAnsi="宋体" w:eastAsia="宋体" w:cs="宋体"/>
                <w:spacing w:val="-54"/>
                <w:w w:val="99"/>
                <w:sz w:val="20"/>
                <w:szCs w:val="20"/>
              </w:rPr>
              <w:t>）：</w:t>
            </w:r>
            <w:r>
              <w:rPr>
                <w:rFonts w:ascii="宋体" w:hAnsi="宋体" w:eastAsia="宋体" w:cs="宋体"/>
                <w:spacing w:val="9"/>
                <w:sz w:val="20"/>
                <w:szCs w:val="20"/>
                <w:u w:val="single"/>
              </w:rPr>
              <w:t xml:space="preserve">      </w:t>
            </w:r>
            <w:r>
              <w:rPr>
                <w:rFonts w:hint="eastAsia" w:ascii="宋体" w:hAnsi="宋体" w:eastAsia="宋体" w:cs="宋体"/>
                <w:spacing w:val="9"/>
                <w:sz w:val="20"/>
                <w:szCs w:val="20"/>
                <w:u w:val="single"/>
                <w:lang w:val="en-US" w:eastAsia="zh-CN"/>
              </w:rPr>
              <w:t xml:space="preserve">  </w:t>
            </w:r>
            <w:r>
              <w:rPr>
                <w:rFonts w:ascii="宋体" w:hAnsi="宋体" w:eastAsia="宋体" w:cs="宋体"/>
                <w:spacing w:val="9"/>
                <w:sz w:val="20"/>
                <w:szCs w:val="20"/>
                <w:u w:val="single"/>
              </w:rPr>
              <w:t xml:space="preserve">    </w:t>
            </w:r>
            <w:r>
              <w:rPr>
                <w:rFonts w:hint="eastAsia" w:ascii="宋体" w:hAnsi="宋体" w:eastAsia="宋体" w:cs="宋体"/>
                <w:spacing w:val="9"/>
                <w:sz w:val="20"/>
                <w:szCs w:val="20"/>
                <w:u w:val="single"/>
                <w:lang w:val="en-US" w:eastAsia="zh-CN"/>
              </w:rPr>
              <w:t xml:space="preserve">     </w:t>
            </w:r>
            <w:r>
              <w:rPr>
                <w:rFonts w:ascii="宋体" w:hAnsi="宋体" w:eastAsia="宋体" w:cs="宋体"/>
                <w:spacing w:val="-69"/>
                <w:sz w:val="20"/>
                <w:szCs w:val="20"/>
              </w:rPr>
              <w:t xml:space="preserve"> </w:t>
            </w:r>
            <w:r>
              <w:rPr>
                <w:rFonts w:hint="eastAsia" w:ascii="宋体" w:hAnsi="宋体" w:eastAsia="宋体" w:cs="宋体"/>
                <w:spacing w:val="-69"/>
                <w:sz w:val="20"/>
                <w:szCs w:val="20"/>
                <w:lang w:eastAsia="zh-CN"/>
              </w:rPr>
              <w:t>（</w:t>
            </w:r>
            <w:r>
              <w:rPr>
                <w:rFonts w:hint="eastAsia" w:ascii="宋体" w:hAnsi="宋体" w:eastAsia="宋体" w:cs="宋体"/>
                <w:spacing w:val="-69"/>
                <w:sz w:val="20"/>
                <w:szCs w:val="20"/>
                <w:lang w:val="en-US" w:eastAsia="zh-CN"/>
              </w:rPr>
              <w:t xml:space="preserve">  </w:t>
            </w:r>
            <w:r>
              <w:rPr>
                <w:rFonts w:hint="eastAsia" w:ascii="宋体" w:hAnsi="宋体" w:eastAsia="宋体" w:cs="宋体"/>
                <w:spacing w:val="-69"/>
                <w:sz w:val="20"/>
                <w:szCs w:val="20"/>
                <w:u w:val="none" w:color="auto"/>
                <w:lang w:val="en-US" w:eastAsia="zh-CN"/>
              </w:rPr>
              <w:t xml:space="preserve"> </w:t>
            </w:r>
            <w:r>
              <w:rPr>
                <w:rFonts w:hint="eastAsia" w:ascii="宋体" w:hAnsi="宋体" w:eastAsia="宋体" w:cs="宋体"/>
                <w:spacing w:val="-69"/>
                <w:sz w:val="20"/>
                <w:szCs w:val="20"/>
                <w:u w:val="none" w:color="auto"/>
              </w:rPr>
              <w:t>¥</w:t>
            </w:r>
            <w:r>
              <w:rPr>
                <w:rFonts w:ascii="宋体" w:hAnsi="宋体" w:eastAsia="宋体" w:cs="宋体"/>
                <w:sz w:val="20"/>
                <w:szCs w:val="20"/>
                <w:u w:val="none" w:color="auto"/>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hint="eastAsia" w:ascii="宋体" w:hAnsi="宋体" w:eastAsia="宋体" w:cs="宋体"/>
                <w:sz w:val="20"/>
                <w:szCs w:val="20"/>
                <w:u w:val="none" w:color="auto"/>
                <w:lang w:val="en-US" w:eastAsia="zh-CN"/>
              </w:rPr>
              <w:t>）</w:t>
            </w:r>
          </w:p>
          <w:p w14:paraId="4919A544">
            <w:pPr>
              <w:keepNext w:val="0"/>
              <w:keepLines w:val="0"/>
              <w:pageBreakBefore w:val="0"/>
              <w:widowControl/>
              <w:kinsoku w:val="0"/>
              <w:wordWrap/>
              <w:overflowPunct/>
              <w:topLinePunct w:val="0"/>
              <w:autoSpaceDE w:val="0"/>
              <w:autoSpaceDN w:val="0"/>
              <w:bidi w:val="0"/>
              <w:adjustRightInd w:val="0"/>
              <w:snapToGrid w:val="0"/>
              <w:spacing w:before="155" w:line="300" w:lineRule="auto"/>
              <w:ind w:left="126"/>
              <w:jc w:val="both"/>
              <w:textAlignment w:val="baseline"/>
              <w:rPr>
                <w:rFonts w:ascii="宋体" w:hAnsi="宋体" w:eastAsia="宋体" w:cs="宋体"/>
                <w:sz w:val="20"/>
                <w:szCs w:val="20"/>
              </w:rPr>
            </w:pPr>
            <w:r>
              <w:rPr>
                <w:rFonts w:ascii="宋体" w:hAnsi="宋体" w:eastAsia="宋体" w:cs="宋体"/>
                <w:spacing w:val="6"/>
                <w:sz w:val="20"/>
                <w:szCs w:val="20"/>
              </w:rPr>
              <w:t>（其中：不含税金额：</w:t>
            </w:r>
            <w:r>
              <w:rPr>
                <w:rFonts w:ascii="宋体" w:hAnsi="宋体" w:eastAsia="宋体" w:cs="宋体"/>
                <w:spacing w:val="6"/>
                <w:sz w:val="20"/>
                <w:szCs w:val="20"/>
                <w:u w:val="single"/>
              </w:rPr>
              <w:t xml:space="preserve">   </w:t>
            </w:r>
            <w:r>
              <w:rPr>
                <w:rFonts w:hint="eastAsia" w:ascii="宋体" w:hAnsi="宋体" w:eastAsia="宋体" w:cs="宋体"/>
                <w:spacing w:val="6"/>
                <w:sz w:val="20"/>
                <w:szCs w:val="20"/>
                <w:u w:val="single"/>
                <w:lang w:val="en-US" w:eastAsia="zh-CN"/>
              </w:rPr>
              <w:t xml:space="preserve">   </w:t>
            </w:r>
            <w:r>
              <w:rPr>
                <w:rFonts w:ascii="宋体" w:hAnsi="宋体" w:eastAsia="宋体" w:cs="宋体"/>
                <w:spacing w:val="6"/>
                <w:sz w:val="20"/>
                <w:szCs w:val="20"/>
                <w:u w:val="single"/>
              </w:rPr>
              <w:t xml:space="preserve">  </w:t>
            </w:r>
            <w:r>
              <w:rPr>
                <w:rFonts w:ascii="宋体" w:hAnsi="宋体" w:eastAsia="宋体" w:cs="宋体"/>
                <w:spacing w:val="6"/>
                <w:sz w:val="20"/>
                <w:szCs w:val="20"/>
              </w:rPr>
              <w:t>元，税率</w:t>
            </w:r>
            <w:r>
              <w:rPr>
                <w:rFonts w:ascii="宋体" w:hAnsi="宋体" w:eastAsia="宋体" w:cs="宋体"/>
                <w:spacing w:val="1"/>
                <w:sz w:val="20"/>
                <w:szCs w:val="20"/>
              </w:rPr>
              <w:t>：</w:t>
            </w:r>
            <w:r>
              <w:rPr>
                <w:rFonts w:ascii="宋体" w:hAnsi="宋体" w:eastAsia="宋体" w:cs="宋体"/>
                <w:spacing w:val="12"/>
                <w:sz w:val="20"/>
                <w:szCs w:val="20"/>
                <w:u w:val="single"/>
              </w:rPr>
              <w:t xml:space="preserve">     </w:t>
            </w:r>
            <w:r>
              <w:rPr>
                <w:rFonts w:hint="eastAsia" w:ascii="宋体" w:hAnsi="宋体" w:eastAsia="宋体" w:cs="宋体"/>
                <w:spacing w:val="12"/>
                <w:sz w:val="20"/>
                <w:szCs w:val="20"/>
                <w:u w:val="none"/>
                <w:lang w:val="en-US" w:eastAsia="zh-CN"/>
              </w:rPr>
              <w:t>%</w:t>
            </w:r>
            <w:r>
              <w:rPr>
                <w:rFonts w:ascii="宋体" w:hAnsi="宋体" w:eastAsia="宋体" w:cs="宋体"/>
                <w:spacing w:val="1"/>
                <w:sz w:val="20"/>
                <w:szCs w:val="20"/>
              </w:rPr>
              <w:t>，</w:t>
            </w:r>
            <w:r>
              <w:rPr>
                <w:rFonts w:ascii="宋体" w:hAnsi="宋体" w:eastAsia="宋体" w:cs="宋体"/>
                <w:spacing w:val="6"/>
                <w:sz w:val="20"/>
                <w:szCs w:val="20"/>
              </w:rPr>
              <w:t>税金：</w:t>
            </w:r>
            <w:r>
              <w:rPr>
                <w:rFonts w:ascii="宋体" w:hAnsi="宋体" w:eastAsia="宋体" w:cs="宋体"/>
                <w:spacing w:val="9"/>
                <w:sz w:val="20"/>
                <w:szCs w:val="20"/>
                <w:u w:val="single"/>
              </w:rPr>
              <w:t xml:space="preserve">   </w:t>
            </w:r>
            <w:r>
              <w:rPr>
                <w:rFonts w:hint="eastAsia" w:ascii="宋体" w:hAnsi="宋体" w:eastAsia="宋体" w:cs="宋体"/>
                <w:spacing w:val="9"/>
                <w:sz w:val="20"/>
                <w:szCs w:val="20"/>
                <w:u w:val="single"/>
                <w:lang w:val="en-US" w:eastAsia="zh-CN"/>
              </w:rPr>
              <w:t xml:space="preserve">  </w:t>
            </w:r>
            <w:r>
              <w:rPr>
                <w:rFonts w:ascii="宋体" w:hAnsi="宋体" w:eastAsia="宋体" w:cs="宋体"/>
                <w:spacing w:val="9"/>
                <w:sz w:val="20"/>
                <w:szCs w:val="20"/>
                <w:u w:val="single"/>
              </w:rPr>
              <w:t xml:space="preserve">  </w:t>
            </w:r>
            <w:r>
              <w:rPr>
                <w:rFonts w:ascii="宋体" w:hAnsi="宋体" w:eastAsia="宋体" w:cs="宋体"/>
                <w:spacing w:val="6"/>
                <w:sz w:val="20"/>
                <w:szCs w:val="20"/>
              </w:rPr>
              <w:t>元）</w:t>
            </w:r>
          </w:p>
        </w:tc>
      </w:tr>
    </w:tbl>
    <w:p w14:paraId="52ADB106">
      <w:pPr>
        <w:pStyle w:val="7"/>
        <w:keepNext w:val="0"/>
        <w:keepLines w:val="0"/>
        <w:pageBreakBefore w:val="0"/>
        <w:widowControl/>
        <w:kinsoku w:val="0"/>
        <w:wordWrap/>
        <w:overflowPunct/>
        <w:topLinePunct w:val="0"/>
        <w:autoSpaceDE w:val="0"/>
        <w:autoSpaceDN w:val="0"/>
        <w:bidi w:val="0"/>
        <w:adjustRightInd w:val="0"/>
        <w:snapToGrid w:val="0"/>
        <w:spacing w:before="109" w:line="300" w:lineRule="auto"/>
        <w:ind w:firstLine="448" w:firstLineChars="200"/>
        <w:jc w:val="both"/>
        <w:textAlignment w:val="baseline"/>
        <w:rPr>
          <w:spacing w:val="7"/>
        </w:rPr>
      </w:pPr>
      <w:r>
        <w:rPr>
          <w:spacing w:val="7"/>
        </w:rPr>
        <w:t>1.1</w:t>
      </w:r>
      <w:r>
        <w:rPr>
          <w:spacing w:val="-4"/>
        </w:rPr>
        <w:t xml:space="preserve"> </w:t>
      </w:r>
      <w:r>
        <w:rPr>
          <w:rFonts w:hint="eastAsia"/>
          <w:color w:val="auto"/>
          <w:spacing w:val="-4"/>
          <w:lang w:val="en-US" w:eastAsia="zh-CN"/>
        </w:rPr>
        <w:t>上述采购数量为预估暂定数量，</w:t>
      </w:r>
      <w:r>
        <w:rPr>
          <w:rFonts w:hint="eastAsia"/>
          <w:color w:val="auto"/>
          <w:spacing w:val="7"/>
        </w:rPr>
        <w:t>甲方</w:t>
      </w:r>
      <w:r>
        <w:rPr>
          <w:rFonts w:hint="eastAsia"/>
          <w:color w:val="auto"/>
          <w:spacing w:val="7"/>
          <w:lang w:val="en-US" w:eastAsia="zh-CN"/>
        </w:rPr>
        <w:t>有权根据</w:t>
      </w:r>
      <w:r>
        <w:rPr>
          <w:rFonts w:hint="eastAsia"/>
          <w:color w:val="auto"/>
          <w:spacing w:val="7"/>
        </w:rPr>
        <w:t>工程项目实际施工情况对采购数量做相应变更，其单价以本合同约定为准，并按实际采购货物量结算。</w:t>
      </w:r>
      <w:r>
        <w:rPr>
          <w:rFonts w:hint="eastAsia"/>
          <w:b/>
          <w:bCs/>
          <w:color w:val="FF0000"/>
          <w:spacing w:val="9"/>
          <w:lang w:val="en-US" w:eastAsia="zh-CN"/>
        </w:rPr>
        <w:t>若合同约定数量</w:t>
      </w:r>
      <w:r>
        <w:rPr>
          <w:rFonts w:hint="default" w:ascii="Arial" w:hAnsi="Arial" w:cs="Arial"/>
          <w:b/>
          <w:bCs/>
          <w:color w:val="FF0000"/>
          <w:spacing w:val="9"/>
          <w:lang w:val="en-US" w:eastAsia="zh-CN"/>
        </w:rPr>
        <w:t>&lt;</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合同约定数量的110%，则按本合同约定计付货款，不需另行签订补充合同；若</w:t>
      </w:r>
      <w:r>
        <w:rPr>
          <w:rFonts w:hint="eastAsia"/>
          <w:b/>
          <w:bCs/>
          <w:color w:val="FF0000"/>
          <w:spacing w:val="9"/>
          <w:lang w:eastAsia="zh-CN"/>
        </w:rPr>
        <w:t>实际采购量</w:t>
      </w:r>
      <w:r>
        <w:rPr>
          <w:rFonts w:hint="default" w:ascii="Arial" w:hAnsi="Arial" w:cs="Arial"/>
          <w:b/>
          <w:bCs/>
          <w:color w:val="FF0000"/>
          <w:spacing w:val="9"/>
          <w:lang w:val="en-US" w:eastAsia="zh-CN"/>
        </w:rPr>
        <w:t>≥</w:t>
      </w:r>
      <w:r>
        <w:rPr>
          <w:rFonts w:hint="eastAsia"/>
          <w:b/>
          <w:bCs/>
          <w:color w:val="FF0000"/>
          <w:spacing w:val="9"/>
          <w:lang w:val="en-US" w:eastAsia="zh-CN"/>
        </w:rPr>
        <w:t>合同约定数量的110%，则须就</w:t>
      </w:r>
      <w:r>
        <w:rPr>
          <w:rFonts w:hint="eastAsia"/>
          <w:b/>
          <w:bCs/>
          <w:color w:val="FF0000"/>
          <w:spacing w:val="9"/>
          <w:lang w:eastAsia="zh-CN"/>
        </w:rPr>
        <w:t>超出</w:t>
      </w:r>
      <w:r>
        <w:rPr>
          <w:rFonts w:hint="eastAsia" w:ascii="PingFang SC" w:hAnsi="PingFang SC" w:eastAsia="PingFang SC" w:cs="PingFang SC"/>
          <w:b/>
          <w:bCs/>
          <w:color w:val="FF0000"/>
          <w:spacing w:val="9"/>
          <w:lang w:val="en-US" w:eastAsia="zh-CN"/>
        </w:rPr>
        <w:t>合同约定数量100</w:t>
      </w:r>
      <w:r>
        <w:rPr>
          <w:rFonts w:hint="eastAsia"/>
          <w:b/>
          <w:bCs/>
          <w:color w:val="FF0000"/>
          <w:spacing w:val="9"/>
          <w:lang w:val="en-US" w:eastAsia="zh-CN"/>
        </w:rPr>
        <w:t>%的部分</w:t>
      </w:r>
      <w:r>
        <w:rPr>
          <w:rFonts w:hint="eastAsia"/>
          <w:b/>
          <w:bCs/>
          <w:color w:val="FF0000"/>
          <w:spacing w:val="9"/>
          <w:lang w:eastAsia="zh-CN"/>
        </w:rPr>
        <w:t>另行签订补充合同，否则视为超出</w:t>
      </w:r>
      <w:r>
        <w:rPr>
          <w:rFonts w:hint="eastAsia"/>
          <w:b/>
          <w:bCs/>
          <w:color w:val="FF0000"/>
          <w:spacing w:val="9"/>
          <w:lang w:val="en-US" w:eastAsia="zh-CN"/>
        </w:rPr>
        <w:t>100%的</w:t>
      </w:r>
      <w:r>
        <w:rPr>
          <w:rFonts w:hint="eastAsia"/>
          <w:b/>
          <w:bCs/>
          <w:color w:val="FF0000"/>
          <w:spacing w:val="9"/>
          <w:lang w:eastAsia="zh-CN"/>
        </w:rPr>
        <w:t>部分无须支付对价。</w:t>
      </w:r>
      <w:r>
        <w:rPr>
          <w:rFonts w:hint="eastAsia"/>
          <w:color w:val="auto"/>
          <w:spacing w:val="7"/>
        </w:rPr>
        <w:t>当实际采购数量不足表中所列</w:t>
      </w:r>
      <w:r>
        <w:rPr>
          <w:rFonts w:hint="eastAsia"/>
          <w:color w:val="auto"/>
          <w:spacing w:val="7"/>
          <w:lang w:val="en-US" w:eastAsia="zh-CN"/>
        </w:rPr>
        <w:t>预估</w:t>
      </w:r>
      <w:r>
        <w:rPr>
          <w:rFonts w:hint="eastAsia"/>
          <w:color w:val="auto"/>
          <w:spacing w:val="7"/>
        </w:rPr>
        <w:t>数量时，乙方不得以需求不足向甲方索赔。</w:t>
      </w:r>
    </w:p>
    <w:p w14:paraId="6C69C38B">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right="52" w:firstLine="456" w:firstLineChars="200"/>
        <w:jc w:val="both"/>
        <w:textAlignment w:val="baseline"/>
      </w:pPr>
      <w:r>
        <w:rPr>
          <w:spacing w:val="9"/>
        </w:rPr>
        <w:t>1.2</w:t>
      </w:r>
      <w:r>
        <w:rPr>
          <w:spacing w:val="-44"/>
        </w:rPr>
        <w:t xml:space="preserve"> </w:t>
      </w:r>
      <w:r>
        <w:rPr>
          <w:rFonts w:hint="eastAsia" w:ascii="宋体" w:hAnsi="宋体" w:eastAsia="宋体" w:cs="宋体"/>
          <w:color w:val="auto"/>
          <w:spacing w:val="9"/>
          <w:lang w:val="en-US" w:eastAsia="zh-CN"/>
        </w:rPr>
        <w:t>本合同项下混凝土</w:t>
      </w:r>
      <w:r>
        <w:rPr>
          <w:color w:val="auto"/>
          <w:spacing w:val="9"/>
        </w:rPr>
        <w:t>如需分批交货，则每批交货数量以</w:t>
      </w:r>
      <w:r>
        <w:rPr>
          <w:spacing w:val="9"/>
        </w:rPr>
        <w:t>甲方</w:t>
      </w:r>
      <w:r>
        <w:rPr>
          <w:rFonts w:hint="eastAsia"/>
          <w:spacing w:val="9"/>
          <w:lang w:val="en-US" w:eastAsia="zh-CN"/>
        </w:rPr>
        <w:t>书面通知</w:t>
      </w:r>
      <w:r>
        <w:rPr>
          <w:color w:val="auto"/>
          <w:spacing w:val="8"/>
        </w:rPr>
        <w:t>为准。</w:t>
      </w:r>
      <w:r>
        <w:rPr>
          <w:color w:val="auto"/>
          <w:spacing w:val="9"/>
        </w:rPr>
        <w:t>采购数量为合同交货</w:t>
      </w:r>
      <w:r>
        <w:rPr>
          <w:rFonts w:hint="eastAsia"/>
          <w:color w:val="auto"/>
          <w:spacing w:val="9"/>
          <w:lang w:val="en-US" w:eastAsia="zh-CN"/>
        </w:rPr>
        <w:t>并经验收合格的</w:t>
      </w:r>
      <w:r>
        <w:rPr>
          <w:color w:val="auto"/>
          <w:spacing w:val="9"/>
        </w:rPr>
        <w:t>总量，</w:t>
      </w:r>
      <w:r>
        <w:rPr>
          <w:color w:val="auto"/>
          <w:spacing w:val="8"/>
        </w:rPr>
        <w:t>实际</w:t>
      </w:r>
      <w:r>
        <w:rPr>
          <w:rFonts w:hint="eastAsia"/>
          <w:color w:val="auto"/>
          <w:spacing w:val="8"/>
          <w:lang w:val="en-US" w:eastAsia="zh-CN"/>
        </w:rPr>
        <w:t>采购</w:t>
      </w:r>
      <w:r>
        <w:rPr>
          <w:color w:val="auto"/>
          <w:spacing w:val="9"/>
        </w:rPr>
        <w:t>数</w:t>
      </w:r>
      <w:r>
        <w:rPr>
          <w:spacing w:val="9"/>
        </w:rPr>
        <w:t>量以甲方实际收到并经甲方书面验收合格的</w:t>
      </w:r>
      <w:r>
        <w:rPr>
          <w:spacing w:val="8"/>
        </w:rPr>
        <w:t>交货量为准，并以此为依据结算合同价款。乙方获</w:t>
      </w:r>
      <w:r>
        <w:rPr>
          <w:spacing w:val="9"/>
        </w:rPr>
        <w:t>悉的甲方额外交货要求，应以甲方正式书面通知</w:t>
      </w:r>
      <w:r>
        <w:rPr>
          <w:spacing w:val="8"/>
        </w:rPr>
        <w:t>为准，否则对甲方没有约束力，不予支付货款。由乙方自行承担货款损失的一切不利后果。</w:t>
      </w:r>
    </w:p>
    <w:p w14:paraId="686E326A">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431"/>
        <w:jc w:val="both"/>
        <w:textAlignment w:val="baseline"/>
      </w:pPr>
      <w:r>
        <w:rPr>
          <w:spacing w:val="7"/>
        </w:rPr>
        <w:t>2.单价采用下列方式确定：</w:t>
      </w:r>
    </w:p>
    <w:p w14:paraId="6D4A5720">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10" w:right="112" w:firstLine="322"/>
        <w:jc w:val="both"/>
        <w:textAlignment w:val="baseline"/>
        <w:rPr>
          <w:spacing w:val="4"/>
        </w:rPr>
      </w:pPr>
      <w:r>
        <w:rPr>
          <w:spacing w:val="4"/>
        </w:rPr>
        <w:t>（1）</w:t>
      </w:r>
      <w:r>
        <w:rPr>
          <w:rFonts w:hint="default"/>
          <w:spacing w:val="4"/>
          <w:lang w:eastAsia="zh-CN"/>
        </w:rPr>
        <w:t>混凝土</w:t>
      </w:r>
      <w:r>
        <w:rPr>
          <w:spacing w:val="4"/>
        </w:rPr>
        <w:t>供应单价按</w:t>
      </w:r>
      <w:r>
        <w:rPr>
          <w:rFonts w:hint="default"/>
          <w:spacing w:val="4"/>
          <w:u w:val="none" w:color="auto"/>
          <w:lang w:val="en-US" w:eastAsia="zh-CN"/>
        </w:rPr>
        <w:t>温州市工程造价</w:t>
      </w:r>
      <w:r>
        <w:rPr>
          <w:spacing w:val="4"/>
          <w:u w:val="none" w:color="auto"/>
        </w:rPr>
        <w:t>信息价（综合版）</w:t>
      </w:r>
      <w:r>
        <w:rPr>
          <w:spacing w:val="4"/>
        </w:rPr>
        <w:t>发布的</w:t>
      </w:r>
      <w:r>
        <w:rPr>
          <w:rFonts w:hint="default"/>
          <w:spacing w:val="4"/>
          <w:u w:val="single"/>
          <w:lang w:val="en-US" w:eastAsia="zh-CN"/>
        </w:rPr>
        <w:t xml:space="preserve">  </w:t>
      </w:r>
      <w:r>
        <w:rPr>
          <w:rFonts w:hint="eastAsia"/>
          <w:spacing w:val="4"/>
          <w:u w:val="single"/>
          <w:lang w:val="en-US" w:eastAsia="zh-CN"/>
        </w:rPr>
        <w:t xml:space="preserve">    </w:t>
      </w:r>
      <w:r>
        <w:rPr>
          <w:rFonts w:hint="default"/>
          <w:spacing w:val="4"/>
          <w:u w:val="single"/>
          <w:lang w:val="en-US" w:eastAsia="zh-CN"/>
        </w:rPr>
        <w:t xml:space="preserve"> </w:t>
      </w:r>
      <w:r>
        <w:rPr>
          <w:rFonts w:hint="default"/>
          <w:spacing w:val="4"/>
          <w:u w:val="none"/>
          <w:lang w:val="en-US" w:eastAsia="zh-CN"/>
        </w:rPr>
        <w:t>（上、当）</w:t>
      </w:r>
      <w:r>
        <w:rPr>
          <w:spacing w:val="4"/>
        </w:rPr>
        <w:t>月含税信息价下浮</w:t>
      </w:r>
      <w:r>
        <w:rPr>
          <w:spacing w:val="4"/>
          <w:u w:val="single"/>
        </w:rPr>
        <w:t xml:space="preserve"> </w:t>
      </w:r>
      <w:r>
        <w:rPr>
          <w:spacing w:val="4"/>
          <w:u w:val="single" w:color="auto"/>
        </w:rPr>
        <w:t xml:space="preserve">     </w:t>
      </w:r>
      <w:r>
        <w:rPr>
          <w:spacing w:val="4"/>
          <w:u w:val="single"/>
        </w:rPr>
        <w:t xml:space="preserve"> </w:t>
      </w:r>
      <w:r>
        <w:rPr>
          <w:spacing w:val="4"/>
        </w:rPr>
        <w:t>元/</w:t>
      </w:r>
      <w:r>
        <w:rPr>
          <w:rFonts w:hint="eastAsia"/>
          <w:spacing w:val="4"/>
        </w:rPr>
        <w:t>m³</w:t>
      </w:r>
      <w:r>
        <w:rPr>
          <w:spacing w:val="4"/>
        </w:rPr>
        <w:t>。</w:t>
      </w:r>
    </w:p>
    <w:p w14:paraId="493D969B">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10" w:right="112" w:firstLine="322"/>
        <w:jc w:val="both"/>
        <w:textAlignment w:val="baseline"/>
      </w:pPr>
      <w:r>
        <w:rPr>
          <w:spacing w:val="4"/>
        </w:rPr>
        <w:t>（2）</w:t>
      </w:r>
      <w:r>
        <w:rPr>
          <w:rFonts w:hint="eastAsia"/>
          <w:spacing w:val="4"/>
          <w:lang w:val="en-US" w:eastAsia="zh-CN"/>
        </w:rPr>
        <w:t>如需泵送，则外加泵送机械费：</w:t>
      </w:r>
      <w:r>
        <w:rPr>
          <w:rFonts w:hint="eastAsia"/>
          <w:spacing w:val="4"/>
          <w:u w:val="single"/>
          <w:lang w:val="en-US" w:eastAsia="zh-CN"/>
        </w:rPr>
        <w:t xml:space="preserve">                                             </w:t>
      </w:r>
      <w:r>
        <w:rPr>
          <w:rFonts w:hint="eastAsia"/>
          <w:spacing w:val="4"/>
          <w:u w:val="none"/>
          <w:lang w:val="en-US" w:eastAsia="zh-CN"/>
        </w:rPr>
        <w:t>。</w:t>
      </w:r>
    </w:p>
    <w:p w14:paraId="40B42C8A">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9" w:firstLine="323"/>
        <w:jc w:val="both"/>
        <w:textAlignment w:val="baseline"/>
        <w:rPr>
          <w:rFonts w:hint="eastAsia" w:eastAsia="宋体"/>
          <w:lang w:eastAsia="zh-CN"/>
        </w:rPr>
      </w:pPr>
      <w:r>
        <w:rPr>
          <w:spacing w:val="6"/>
        </w:rPr>
        <w:t>（3）</w:t>
      </w:r>
      <w:r>
        <w:rPr>
          <w:rFonts w:hint="eastAsia"/>
          <w:spacing w:val="6"/>
          <w:lang w:val="en-US" w:eastAsia="zh-CN"/>
        </w:rPr>
        <w:t>混凝土</w:t>
      </w:r>
      <w:r>
        <w:rPr>
          <w:spacing w:val="6"/>
        </w:rPr>
        <w:t>使用当天泵送方量不足</w:t>
      </w:r>
      <w:r>
        <w:rPr>
          <w:spacing w:val="-99"/>
        </w:rPr>
        <w:t xml:space="preserve"> </w:t>
      </w:r>
      <w:r>
        <w:rPr>
          <w:spacing w:val="4"/>
          <w:u w:val="single" w:color="auto"/>
        </w:rPr>
        <w:t xml:space="preserve">     </w:t>
      </w:r>
      <w:r>
        <w:rPr>
          <w:spacing w:val="-93"/>
        </w:rPr>
        <w:t xml:space="preserve"> </w:t>
      </w:r>
      <w:r>
        <w:rPr>
          <w:spacing w:val="6"/>
        </w:rPr>
        <w:t>m</w:t>
      </w:r>
      <w:r>
        <w:rPr>
          <w:spacing w:val="6"/>
          <w:position w:val="10"/>
          <w:sz w:val="10"/>
          <w:szCs w:val="10"/>
        </w:rPr>
        <w:t>3</w:t>
      </w:r>
      <w:r>
        <w:rPr>
          <w:spacing w:val="-25"/>
          <w:position w:val="10"/>
          <w:sz w:val="10"/>
          <w:szCs w:val="10"/>
        </w:rPr>
        <w:t xml:space="preserve"> </w:t>
      </w:r>
      <w:r>
        <w:rPr>
          <w:spacing w:val="6"/>
        </w:rPr>
        <w:t>，以</w:t>
      </w:r>
      <w:r>
        <w:rPr>
          <w:spacing w:val="6"/>
          <w:u w:val="single" w:color="auto"/>
        </w:rPr>
        <w:t xml:space="preserve">      </w:t>
      </w:r>
      <w:r>
        <w:rPr>
          <w:spacing w:val="6"/>
        </w:rPr>
        <w:t>m</w:t>
      </w:r>
      <w:r>
        <w:rPr>
          <w:spacing w:val="6"/>
          <w:position w:val="10"/>
          <w:sz w:val="10"/>
          <w:szCs w:val="10"/>
        </w:rPr>
        <w:t>3</w:t>
      </w:r>
      <w:r>
        <w:rPr>
          <w:spacing w:val="-15"/>
          <w:position w:val="10"/>
          <w:sz w:val="10"/>
          <w:szCs w:val="10"/>
        </w:rPr>
        <w:t xml:space="preserve"> </w:t>
      </w:r>
      <w:r>
        <w:rPr>
          <w:spacing w:val="6"/>
        </w:rPr>
        <w:t>起计算</w:t>
      </w:r>
      <w:r>
        <w:rPr>
          <w:spacing w:val="5"/>
        </w:rPr>
        <w:t>泵送费；如需增加坍落度，掺入膨胀</w:t>
      </w:r>
      <w:r>
        <w:rPr>
          <w:spacing w:val="9"/>
        </w:rPr>
        <w:t>剂（不减少水泥费用</w:t>
      </w:r>
      <w:r>
        <w:rPr>
          <w:spacing w:val="-39"/>
        </w:rPr>
        <w:t>），</w:t>
      </w:r>
      <w:r>
        <w:rPr>
          <w:spacing w:val="9"/>
        </w:rPr>
        <w:t>均按市住建部门造价处文件规定另外加收费用。</w:t>
      </w:r>
      <w:r>
        <w:rPr>
          <w:rFonts w:hint="eastAsia"/>
          <w:spacing w:val="9"/>
          <w:lang w:eastAsia="zh-CN"/>
        </w:rPr>
        <w:t>（</w:t>
      </w:r>
      <w:r>
        <w:rPr>
          <w:rFonts w:hint="eastAsia"/>
          <w:spacing w:val="9"/>
          <w:lang w:val="en-US" w:eastAsia="zh-CN"/>
        </w:rPr>
        <w:t>如文件无规定，则按市场价。</w:t>
      </w:r>
      <w:r>
        <w:rPr>
          <w:rFonts w:hint="eastAsia"/>
          <w:spacing w:val="9"/>
          <w:lang w:eastAsia="zh-CN"/>
        </w:rPr>
        <w:t>）</w:t>
      </w:r>
    </w:p>
    <w:p w14:paraId="60568D15">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firstLine="444" w:firstLineChars="200"/>
        <w:jc w:val="both"/>
        <w:textAlignment w:val="baseline"/>
      </w:pPr>
      <w:r>
        <w:rPr>
          <w:spacing w:val="6"/>
        </w:rPr>
        <w:t>以上第（1）点按每月按信息价调整计算单价，</w:t>
      </w:r>
      <w:r>
        <w:rPr>
          <w:spacing w:val="5"/>
        </w:rPr>
        <w:t>第（2</w:t>
      </w:r>
      <w:r>
        <w:rPr>
          <w:spacing w:val="-13"/>
        </w:rPr>
        <w:t>）～（</w:t>
      </w:r>
      <w:r>
        <w:rPr>
          <w:spacing w:val="5"/>
        </w:rPr>
        <w:t>3）采用固定单价，在合同执行期内，</w:t>
      </w:r>
      <w:r>
        <w:rPr>
          <w:spacing w:val="9"/>
        </w:rPr>
        <w:t>非经甲方书面同意，以上单价不论任何情况均不予调整。</w:t>
      </w:r>
    </w:p>
    <w:p w14:paraId="60F4EFD2">
      <w:pPr>
        <w:pStyle w:val="7"/>
        <w:keepNext w:val="0"/>
        <w:keepLines w:val="0"/>
        <w:pageBreakBefore w:val="0"/>
        <w:widowControl/>
        <w:kinsoku w:val="0"/>
        <w:wordWrap/>
        <w:overflowPunct/>
        <w:topLinePunct w:val="0"/>
        <w:autoSpaceDE w:val="0"/>
        <w:autoSpaceDN w:val="0"/>
        <w:bidi w:val="0"/>
        <w:adjustRightInd w:val="0"/>
        <w:snapToGrid w:val="0"/>
        <w:spacing w:before="34" w:line="300" w:lineRule="auto"/>
        <w:ind w:left="228"/>
        <w:jc w:val="both"/>
        <w:textAlignment w:val="baseline"/>
      </w:pPr>
      <w:r>
        <w:rPr>
          <w:spacing w:val="7"/>
        </w:rPr>
        <w:t>（4）双方约定的其他方式：</w:t>
      </w:r>
      <w:r>
        <w:rPr>
          <w:spacing w:val="10"/>
          <w:u w:val="single" w:color="auto"/>
        </w:rPr>
        <w:t xml:space="preserve">      </w:t>
      </w:r>
      <w:r>
        <w:rPr>
          <w:spacing w:val="7"/>
          <w:u w:val="none" w:color="auto"/>
        </w:rPr>
        <w:t>。</w:t>
      </w:r>
    </w:p>
    <w:p w14:paraId="7C8FF76A">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right="57" w:firstLine="452" w:firstLineChars="200"/>
        <w:jc w:val="both"/>
        <w:textAlignment w:val="baseline"/>
      </w:pPr>
      <w:r>
        <w:rPr>
          <w:spacing w:val="8"/>
        </w:rPr>
        <w:t>以上单价为综合单价，</w:t>
      </w:r>
      <w:r>
        <w:rPr>
          <w:rFonts w:hint="eastAsia"/>
          <w:color w:val="auto"/>
          <w:spacing w:val="8"/>
          <w:lang w:val="en-US" w:eastAsia="zh-CN"/>
        </w:rPr>
        <w:t>包括但不限于</w:t>
      </w:r>
      <w:r>
        <w:rPr>
          <w:spacing w:val="8"/>
        </w:rPr>
        <w:t>：材料费、税金（增值税）、运输费、装卸费、搅拌</w:t>
      </w:r>
      <w:r>
        <w:rPr>
          <w:spacing w:val="7"/>
        </w:rPr>
        <w:t>费等与</w:t>
      </w:r>
      <w:r>
        <w:rPr>
          <w:rFonts w:hint="eastAsia"/>
          <w:spacing w:val="9"/>
          <w:lang w:eastAsia="zh-CN"/>
        </w:rPr>
        <w:t>混凝土</w:t>
      </w:r>
      <w:r>
        <w:rPr>
          <w:spacing w:val="9"/>
        </w:rPr>
        <w:t>有关的特殊要求等可能产生的所有成本和费用。</w:t>
      </w:r>
      <w:r>
        <w:rPr>
          <w:rFonts w:hint="eastAsia"/>
          <w:spacing w:val="9"/>
        </w:rPr>
        <w:t>合同执行期间如遇国家税率调整，税额按国家规定进行调整。</w:t>
      </w:r>
    </w:p>
    <w:p w14:paraId="49F328EF">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9" w:firstLine="450" w:firstLineChars="200"/>
        <w:jc w:val="both"/>
        <w:textAlignment w:val="baseline"/>
        <w:outlineLvl w:val="1"/>
      </w:pPr>
      <w:bookmarkStart w:id="648" w:name="_Toc12755"/>
      <w:r>
        <w:rPr>
          <w:b/>
          <w:bCs/>
          <w:spacing w:val="7"/>
        </w:rPr>
        <w:t>第二条、质量标准和技术要求：</w:t>
      </w:r>
      <w:bookmarkEnd w:id="648"/>
    </w:p>
    <w:p w14:paraId="2C418748">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pPr>
      <w:r>
        <w:rPr>
          <w:spacing w:val="8"/>
        </w:rPr>
        <w:t>1.乙方必须持有相应的</w:t>
      </w:r>
      <w:r>
        <w:rPr>
          <w:rFonts w:hint="eastAsia"/>
          <w:spacing w:val="8"/>
          <w:lang w:eastAsia="zh-CN"/>
        </w:rPr>
        <w:t>混凝土</w:t>
      </w:r>
      <w:r>
        <w:rPr>
          <w:spacing w:val="8"/>
        </w:rPr>
        <w:t>生产资质等级证书，并严格按照资质等级证书核定的营业</w:t>
      </w:r>
      <w:r>
        <w:rPr>
          <w:spacing w:val="7"/>
        </w:rPr>
        <w:t>范围供</w:t>
      </w:r>
      <w:r>
        <w:rPr>
          <w:spacing w:val="5"/>
        </w:rPr>
        <w:t>应</w:t>
      </w:r>
      <w:r>
        <w:rPr>
          <w:rFonts w:hint="eastAsia"/>
          <w:spacing w:val="5"/>
          <w:lang w:eastAsia="zh-CN"/>
        </w:rPr>
        <w:t>混凝土</w:t>
      </w:r>
      <w:r>
        <w:rPr>
          <w:spacing w:val="5"/>
        </w:rPr>
        <w:t>。</w:t>
      </w:r>
    </w:p>
    <w:p w14:paraId="24D5E62E">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9" w:right="41" w:firstLine="421"/>
        <w:jc w:val="both"/>
        <w:textAlignment w:val="baseline"/>
      </w:pPr>
      <w:r>
        <w:rPr>
          <w:spacing w:val="3"/>
        </w:rPr>
        <w:t>2.乙方生产的预拌混凝土质量，必须符合《预拌混凝土》（</w:t>
      </w:r>
      <w:r>
        <w:t>GB</w:t>
      </w:r>
      <w:r>
        <w:rPr>
          <w:spacing w:val="3"/>
        </w:rPr>
        <w:t>/T14902-201</w:t>
      </w:r>
      <w:r>
        <w:rPr>
          <w:rFonts w:hint="eastAsia"/>
          <w:spacing w:val="3"/>
          <w:lang w:val="en-US" w:eastAsia="zh-CN"/>
        </w:rPr>
        <w:t>2</w:t>
      </w:r>
      <w:r>
        <w:rPr>
          <w:spacing w:val="3"/>
        </w:rPr>
        <w:t>）、《普通混凝土配</w:t>
      </w:r>
      <w:r>
        <w:t>合比设计规程》（JGJ55-2011）、《混凝土强度检验评定标准》（GB/T501</w:t>
      </w:r>
      <w:r>
        <w:rPr>
          <w:spacing w:val="-1"/>
        </w:rPr>
        <w:t>07-2010）等相关现行标准、</w:t>
      </w:r>
      <w:r>
        <w:rPr>
          <w:spacing w:val="6"/>
        </w:rPr>
        <w:t>规范的要求。</w:t>
      </w:r>
    </w:p>
    <w:p w14:paraId="0CDDC064">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spacing w:val="8"/>
        </w:rPr>
      </w:pPr>
      <w:r>
        <w:rPr>
          <w:spacing w:val="8"/>
        </w:rPr>
        <w:t>3.乙方必须保证按有关标准、规范的要求，混凝土强度达到设计要求。</w:t>
      </w:r>
      <w:r>
        <w:rPr>
          <w:rFonts w:hint="eastAsia"/>
          <w:color w:val="auto"/>
          <w:spacing w:val="8"/>
          <w:lang w:val="en-US" w:eastAsia="zh-CN"/>
        </w:rPr>
        <w:t>如</w:t>
      </w:r>
      <w:r>
        <w:rPr>
          <w:spacing w:val="8"/>
        </w:rPr>
        <w:t>在甲方按规范标准养护情况下，</w:t>
      </w:r>
      <w:r>
        <w:rPr>
          <w:rFonts w:hint="eastAsia"/>
          <w:color w:val="auto"/>
          <w:spacing w:val="8"/>
          <w:lang w:val="en-US" w:eastAsia="zh-CN"/>
        </w:rPr>
        <w:t>乙方</w:t>
      </w:r>
      <w:r>
        <w:rPr>
          <w:rFonts w:hint="eastAsia"/>
          <w:color w:val="auto"/>
          <w:spacing w:val="8"/>
          <w:lang w:eastAsia="zh-CN"/>
        </w:rPr>
        <w:t>混凝土</w:t>
      </w:r>
      <w:r>
        <w:rPr>
          <w:spacing w:val="8"/>
        </w:rPr>
        <w:t>未达到设计强度要求，其责任由乙方承担，造成甲方损失的，乙方赔偿甲方一切损失，并支付因甲方主张债权所支出的费用。</w:t>
      </w:r>
    </w:p>
    <w:p w14:paraId="610B32C4">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spacing w:val="8"/>
        </w:rPr>
      </w:pPr>
      <w:r>
        <w:rPr>
          <w:spacing w:val="8"/>
        </w:rPr>
        <w:t>4.乙方在预拌混凝土生产过程中应按国家、地方有关混凝土技术规范和质监部门的质量监控要求，乙方提供</w:t>
      </w:r>
      <w:r>
        <w:rPr>
          <w:rFonts w:hint="eastAsia"/>
          <w:spacing w:val="8"/>
          <w:lang w:eastAsia="zh-CN"/>
        </w:rPr>
        <w:t>混凝土</w:t>
      </w:r>
      <w:r>
        <w:rPr>
          <w:spacing w:val="8"/>
        </w:rPr>
        <w:t>相关原材料，配合比等资料和相关资质证书等必备文件资料给甲方。</w:t>
      </w:r>
    </w:p>
    <w:p w14:paraId="1C273B1A">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spacing w:val="8"/>
        </w:rPr>
      </w:pPr>
      <w:r>
        <w:rPr>
          <w:spacing w:val="8"/>
        </w:rPr>
        <w:t>5.</w:t>
      </w:r>
      <w:r>
        <w:rPr>
          <w:rFonts w:hint="eastAsia"/>
          <w:spacing w:val="8"/>
          <w:lang w:val="en-US" w:eastAsia="zh-CN"/>
        </w:rPr>
        <w:t>应</w:t>
      </w:r>
      <w:r>
        <w:rPr>
          <w:spacing w:val="8"/>
        </w:rPr>
        <w:t>用于资料依据的</w:t>
      </w:r>
      <w:r>
        <w:rPr>
          <w:rFonts w:hint="eastAsia"/>
          <w:spacing w:val="8"/>
          <w:lang w:eastAsia="zh-CN"/>
        </w:rPr>
        <w:t>混凝土</w:t>
      </w:r>
      <w:r>
        <w:rPr>
          <w:spacing w:val="8"/>
        </w:rPr>
        <w:t>试块，根据监理</w:t>
      </w:r>
      <w:r>
        <w:rPr>
          <w:rFonts w:hint="eastAsia"/>
          <w:spacing w:val="8"/>
          <w:lang w:eastAsia="zh-CN"/>
        </w:rPr>
        <w:t>（</w:t>
      </w:r>
      <w:r>
        <w:rPr>
          <w:rFonts w:hint="eastAsia"/>
          <w:spacing w:val="8"/>
          <w:lang w:val="en-US" w:eastAsia="zh-CN"/>
        </w:rPr>
        <w:t>如有</w:t>
      </w:r>
      <w:r>
        <w:rPr>
          <w:rFonts w:hint="eastAsia"/>
          <w:spacing w:val="8"/>
          <w:lang w:eastAsia="zh-CN"/>
        </w:rPr>
        <w:t>）</w:t>
      </w:r>
      <w:r>
        <w:rPr>
          <w:spacing w:val="8"/>
        </w:rPr>
        <w:t>要求，甲方在现场按相关标准取样、制作、养护、封存并送检，取芯、回弹合格，费用由甲方承担，若不合格所造成的一切损失和费用由乙方承担。</w:t>
      </w:r>
    </w:p>
    <w:p w14:paraId="579E23F1">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9" w:right="57" w:firstLine="435"/>
        <w:jc w:val="both"/>
        <w:textAlignment w:val="baseline"/>
        <w:rPr>
          <w:rFonts w:hint="default" w:eastAsia="宋体"/>
          <w:color w:val="FF0000"/>
          <w:spacing w:val="8"/>
          <w:lang w:val="en-US" w:eastAsia="zh-CN"/>
        </w:rPr>
      </w:pPr>
      <w:r>
        <w:rPr>
          <w:spacing w:val="8"/>
        </w:rPr>
        <w:t>6.乙方提供的</w:t>
      </w:r>
      <w:r>
        <w:rPr>
          <w:rFonts w:hint="eastAsia"/>
          <w:spacing w:val="8"/>
          <w:lang w:eastAsia="zh-CN"/>
        </w:rPr>
        <w:t>混凝土</w:t>
      </w:r>
      <w:r>
        <w:rPr>
          <w:spacing w:val="8"/>
        </w:rPr>
        <w:t xml:space="preserve">中，氯离子含量符合有关规范要求,否则其责任由乙方承担，造成甲方损失的，乙方赔偿甲方一切损失。 </w:t>
      </w:r>
    </w:p>
    <w:p w14:paraId="7601E892">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right="25" w:firstLine="450" w:firstLineChars="200"/>
        <w:jc w:val="both"/>
        <w:textAlignment w:val="baseline"/>
        <w:outlineLvl w:val="2"/>
      </w:pPr>
      <w:bookmarkStart w:id="649" w:name="_Toc9385"/>
      <w:r>
        <w:rPr>
          <w:b/>
          <w:bCs/>
          <w:spacing w:val="7"/>
        </w:rPr>
        <w:t>第三条、交货与验收</w:t>
      </w:r>
      <w:bookmarkEnd w:id="649"/>
    </w:p>
    <w:p w14:paraId="55FA3F63">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firstLine="448" w:firstLineChars="200"/>
        <w:jc w:val="both"/>
        <w:textAlignment w:val="baseline"/>
        <w:rPr>
          <w:spacing w:val="6"/>
        </w:rPr>
      </w:pPr>
      <w:r>
        <w:rPr>
          <w:spacing w:val="7"/>
        </w:rPr>
        <w:t>1.供货地点：乙方</w:t>
      </w:r>
      <w:r>
        <w:rPr>
          <w:rFonts w:hint="eastAsia"/>
          <w:color w:val="auto"/>
          <w:spacing w:val="7"/>
          <w:lang w:val="en-US" w:eastAsia="zh-CN"/>
        </w:rPr>
        <w:t>负责将货物</w:t>
      </w:r>
      <w:r>
        <w:rPr>
          <w:spacing w:val="7"/>
        </w:rPr>
        <w:t>运送至</w:t>
      </w:r>
      <w:r>
        <w:rPr>
          <w:spacing w:val="-99"/>
        </w:rPr>
        <w:t xml:space="preserve"> </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88"/>
        </w:rPr>
        <w:t xml:space="preserve"> </w:t>
      </w:r>
      <w:r>
        <w:rPr>
          <w:rFonts w:hint="eastAsia"/>
          <w:spacing w:val="7"/>
          <w:lang w:val="en-US" w:eastAsia="zh-CN"/>
        </w:rPr>
        <w:t>项目的</w:t>
      </w:r>
      <w:r>
        <w:rPr>
          <w:rFonts w:hint="eastAsia"/>
          <w:spacing w:val="7"/>
        </w:rPr>
        <w:t>工地分仓库(或堆放场地)</w:t>
      </w:r>
      <w:r>
        <w:rPr>
          <w:spacing w:val="7"/>
        </w:rPr>
        <w:t>，具体地点以甲方指</w:t>
      </w:r>
      <w:r>
        <w:rPr>
          <w:spacing w:val="6"/>
        </w:rPr>
        <w:t>定为准。</w:t>
      </w:r>
    </w:p>
    <w:p w14:paraId="4D1761DC">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left="431" w:right="0" w:firstLine="12"/>
        <w:jc w:val="both"/>
        <w:textAlignment w:val="baseline"/>
      </w:pPr>
      <w:r>
        <w:rPr>
          <w:spacing w:val="6"/>
        </w:rPr>
        <w:t>2.供货时间及方法：</w:t>
      </w:r>
    </w:p>
    <w:p w14:paraId="356AF5CA">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15" w:right="0" w:firstLine="423"/>
        <w:jc w:val="both"/>
        <w:textAlignment w:val="baseline"/>
      </w:pPr>
      <w:r>
        <w:rPr>
          <w:spacing w:val="10"/>
        </w:rPr>
        <w:t>（1）计划供货时间预定于</w:t>
      </w:r>
      <w:r>
        <w:rPr>
          <w:spacing w:val="-99"/>
        </w:rPr>
        <w:t xml:space="preserve"> </w:t>
      </w:r>
      <w:r>
        <w:rPr>
          <w:spacing w:val="6"/>
          <w:u w:val="single" w:color="auto"/>
        </w:rPr>
        <w:t xml:space="preserve">     </w:t>
      </w:r>
      <w:r>
        <w:rPr>
          <w:spacing w:val="-90"/>
        </w:rPr>
        <w:t xml:space="preserve"> </w:t>
      </w:r>
      <w:r>
        <w:rPr>
          <w:spacing w:val="10"/>
        </w:rPr>
        <w:t>年</w:t>
      </w:r>
      <w:r>
        <w:rPr>
          <w:spacing w:val="-98"/>
        </w:rPr>
        <w:t xml:space="preserve"> </w:t>
      </w:r>
      <w:r>
        <w:rPr>
          <w:spacing w:val="6"/>
          <w:u w:val="single" w:color="auto"/>
        </w:rPr>
        <w:t xml:space="preserve">     </w:t>
      </w:r>
      <w:r>
        <w:rPr>
          <w:spacing w:val="-86"/>
        </w:rPr>
        <w:t xml:space="preserve"> </w:t>
      </w:r>
      <w:r>
        <w:rPr>
          <w:spacing w:val="10"/>
        </w:rPr>
        <w:t>月至本工程完工为止，分多</w:t>
      </w:r>
      <w:r>
        <w:rPr>
          <w:spacing w:val="9"/>
        </w:rPr>
        <w:t>次供货；具体供货日期按</w:t>
      </w:r>
      <w:r>
        <w:rPr>
          <w:spacing w:val="6"/>
        </w:rPr>
        <w:t>照甲方通知发货。</w:t>
      </w:r>
    </w:p>
    <w:p w14:paraId="09A6A507">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48" w:firstLineChars="200"/>
        <w:jc w:val="both"/>
        <w:textAlignment w:val="baseline"/>
      </w:pPr>
      <w:r>
        <w:rPr>
          <w:spacing w:val="7"/>
        </w:rPr>
        <w:t>（2）</w:t>
      </w:r>
      <w:r>
        <w:rPr>
          <w:rFonts w:hint="eastAsia"/>
          <w:spacing w:val="7"/>
          <w:lang w:eastAsia="zh-CN"/>
        </w:rPr>
        <w:t>混凝土</w:t>
      </w:r>
      <w:r>
        <w:rPr>
          <w:rFonts w:hint="eastAsia"/>
          <w:spacing w:val="7"/>
          <w:lang w:val="en-US" w:eastAsia="zh-CN"/>
        </w:rPr>
        <w:t>的规格型号、</w:t>
      </w:r>
      <w:r>
        <w:rPr>
          <w:spacing w:val="7"/>
        </w:rPr>
        <w:t>强度等级、坍落度、抗渗要求、外加剂等以工程实际情况，</w:t>
      </w:r>
      <w:r>
        <w:rPr>
          <w:spacing w:val="9"/>
        </w:rPr>
        <w:t>按照甲方</w:t>
      </w:r>
      <w:r>
        <w:rPr>
          <w:rFonts w:hint="eastAsia"/>
          <w:spacing w:val="9"/>
          <w:lang w:val="en-US" w:eastAsia="zh-CN"/>
        </w:rPr>
        <w:t>通知</w:t>
      </w:r>
      <w:r>
        <w:rPr>
          <w:spacing w:val="9"/>
        </w:rPr>
        <w:t>为准。</w:t>
      </w:r>
    </w:p>
    <w:p w14:paraId="625AB8F8">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439" w:right="0"/>
        <w:jc w:val="both"/>
        <w:textAlignment w:val="baseline"/>
      </w:pPr>
      <w:r>
        <w:rPr>
          <w:spacing w:val="7"/>
        </w:rPr>
        <w:t>（</w:t>
      </w:r>
      <w:r>
        <w:rPr>
          <w:rFonts w:hint="eastAsia"/>
          <w:spacing w:val="7"/>
          <w:lang w:val="en-US" w:eastAsia="zh-CN"/>
        </w:rPr>
        <w:t>3</w:t>
      </w:r>
      <w:r>
        <w:rPr>
          <w:spacing w:val="7"/>
        </w:rPr>
        <w:t>）</w:t>
      </w:r>
      <w:r>
        <w:t>乙方必须保证 24 小时供应（除不可抗力因素除外）。</w:t>
      </w:r>
    </w:p>
    <w:p w14:paraId="52DEC59D">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439"/>
        <w:jc w:val="both"/>
        <w:textAlignment w:val="baseline"/>
      </w:pPr>
      <w:r>
        <w:rPr>
          <w:spacing w:val="7"/>
        </w:rPr>
        <w:t>（</w:t>
      </w:r>
      <w:r>
        <w:rPr>
          <w:rFonts w:hint="eastAsia"/>
          <w:spacing w:val="7"/>
          <w:lang w:val="en-US" w:eastAsia="zh-CN"/>
        </w:rPr>
        <w:t>4</w:t>
      </w:r>
      <w:r>
        <w:rPr>
          <w:spacing w:val="7"/>
        </w:rPr>
        <w:t>）</w:t>
      </w:r>
      <w:r>
        <w:rPr>
          <w:spacing w:val="8"/>
        </w:rPr>
        <w:t>有特殊要求的混凝土要提前一个月通知。</w:t>
      </w:r>
    </w:p>
    <w:p w14:paraId="46E3EFFF">
      <w:pPr>
        <w:pStyle w:val="7"/>
        <w:keepNext w:val="0"/>
        <w:keepLines w:val="0"/>
        <w:pageBreakBefore w:val="0"/>
        <w:widowControl w:val="0"/>
        <w:kinsoku w:val="0"/>
        <w:wordWrap/>
        <w:overflowPunct/>
        <w:topLinePunct w:val="0"/>
        <w:autoSpaceDE w:val="0"/>
        <w:autoSpaceDN w:val="0"/>
        <w:bidi w:val="0"/>
        <w:adjustRightInd w:val="0"/>
        <w:snapToGrid w:val="0"/>
        <w:spacing w:before="112" w:line="300" w:lineRule="auto"/>
        <w:ind w:left="17" w:right="28" w:firstLine="420"/>
        <w:jc w:val="both"/>
        <w:textAlignment w:val="baseline"/>
        <w:rPr>
          <w:spacing w:val="8"/>
        </w:rPr>
      </w:pPr>
      <w:r>
        <w:rPr>
          <w:spacing w:val="10"/>
        </w:rPr>
        <w:t>（5）施工现场如遇气候突变，工地设施故障，工段</w:t>
      </w:r>
      <w:r>
        <w:rPr>
          <w:spacing w:val="9"/>
        </w:rPr>
        <w:t>未验收等原因需变更供货时间，</w:t>
      </w:r>
      <w:r>
        <w:rPr>
          <w:spacing w:val="-54"/>
        </w:rPr>
        <w:t xml:space="preserve"> </w:t>
      </w:r>
      <w:r>
        <w:rPr>
          <w:spacing w:val="9"/>
        </w:rPr>
        <w:t>甲方应及时通知乙方变更后的供货时间，最终以双方确认供货时间</w:t>
      </w:r>
      <w:r>
        <w:rPr>
          <w:spacing w:val="8"/>
        </w:rPr>
        <w:t>为准。</w:t>
      </w:r>
    </w:p>
    <w:p w14:paraId="07DA60E0">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right="30" w:firstLine="444" w:firstLineChars="200"/>
        <w:jc w:val="both"/>
        <w:textAlignment w:val="baseline"/>
        <w:rPr>
          <w:spacing w:val="6"/>
        </w:rPr>
      </w:pPr>
      <w:r>
        <w:rPr>
          <w:spacing w:val="6"/>
        </w:rPr>
        <w:t>3.</w:t>
      </w:r>
      <w:r>
        <w:rPr>
          <w:rFonts w:hint="eastAsia"/>
          <w:spacing w:val="6"/>
          <w:lang w:eastAsia="zh-CN"/>
        </w:rPr>
        <w:t>混凝土</w:t>
      </w:r>
      <w:r>
        <w:rPr>
          <w:spacing w:val="6"/>
        </w:rPr>
        <w:t>的验收</w:t>
      </w:r>
    </w:p>
    <w:p w14:paraId="3CE98CEC">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right="30" w:firstLine="440" w:firstLineChars="200"/>
        <w:jc w:val="both"/>
        <w:textAlignment w:val="baseline"/>
        <w:rPr>
          <w:rFonts w:hint="default" w:eastAsia="宋体"/>
          <w:color w:val="auto"/>
          <w:lang w:val="en-US" w:eastAsia="zh-CN"/>
        </w:rPr>
      </w:pPr>
      <w:r>
        <w:rPr>
          <w:spacing w:val="5"/>
        </w:rPr>
        <w:t>（1）</w:t>
      </w:r>
      <w:r>
        <w:rPr>
          <w:rFonts w:hint="eastAsia"/>
          <w:spacing w:val="5"/>
          <w:lang w:eastAsia="zh-CN"/>
        </w:rPr>
        <w:t>混凝土</w:t>
      </w:r>
      <w:r>
        <w:rPr>
          <w:spacing w:val="5"/>
        </w:rPr>
        <w:t>运到施工现场后，由甲方核对乙方提供的《发货单》，检查</w:t>
      </w:r>
      <w:r>
        <w:rPr>
          <w:rFonts w:hint="eastAsia"/>
          <w:spacing w:val="5"/>
          <w:lang w:eastAsia="zh-CN"/>
        </w:rPr>
        <w:t>混凝土</w:t>
      </w:r>
      <w:r>
        <w:rPr>
          <w:spacing w:val="5"/>
        </w:rPr>
        <w:t>的标号是否符合</w:t>
      </w:r>
      <w:r>
        <w:rPr>
          <w:spacing w:val="9"/>
        </w:rPr>
        <w:t>甲方的计划和设计要求，如不符合要求甲方有权拒收；</w:t>
      </w:r>
      <w:r>
        <w:rPr>
          <w:spacing w:val="8"/>
        </w:rPr>
        <w:t>无《发货单》的混凝土甲方有权拒收；甲方</w:t>
      </w:r>
      <w:r>
        <w:rPr>
          <w:spacing w:val="9"/>
        </w:rPr>
        <w:t>验收签字后的《发货单》即为</w:t>
      </w:r>
      <w:r>
        <w:rPr>
          <w:rFonts w:hint="eastAsia"/>
          <w:spacing w:val="9"/>
          <w:lang w:eastAsia="zh-CN"/>
        </w:rPr>
        <w:t>混凝土</w:t>
      </w:r>
      <w:r>
        <w:rPr>
          <w:spacing w:val="9"/>
        </w:rPr>
        <w:t>品种、方量的结算</w:t>
      </w:r>
      <w:r>
        <w:rPr>
          <w:spacing w:val="8"/>
        </w:rPr>
        <w:t>依据。甲、乙双方按月及时对供货量及单价</w:t>
      </w:r>
      <w:r>
        <w:rPr>
          <w:spacing w:val="9"/>
        </w:rPr>
        <w:t>进行核对确认，每月由乙方提供对账单给甲方，甲方对供货量、单</w:t>
      </w:r>
      <w:r>
        <w:rPr>
          <w:spacing w:val="8"/>
        </w:rPr>
        <w:t>价进行核对确认</w:t>
      </w:r>
      <w:r>
        <w:rPr>
          <w:rFonts w:hint="eastAsia"/>
          <w:spacing w:val="8"/>
          <w:lang w:eastAsia="zh-CN"/>
        </w:rPr>
        <w:t>。</w:t>
      </w:r>
      <w:r>
        <w:rPr>
          <w:rFonts w:hint="eastAsia"/>
          <w:color w:val="auto"/>
          <w:spacing w:val="8"/>
          <w:lang w:val="en-US" w:eastAsia="zh-CN"/>
        </w:rPr>
        <w:t>如甲方对乙方提供的对账单有异议，由甲、乙双方重新复核对账。</w:t>
      </w:r>
    </w:p>
    <w:p w14:paraId="0FE65F03">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28"/>
        <w:jc w:val="both"/>
        <w:textAlignment w:val="baseline"/>
        <w:rPr>
          <w:color w:val="auto"/>
        </w:rPr>
      </w:pPr>
      <w:r>
        <w:rPr>
          <w:spacing w:val="11"/>
        </w:rPr>
        <w:t>（2）每立方预拌</w:t>
      </w:r>
      <w:r>
        <w:rPr>
          <w:rFonts w:hint="eastAsia"/>
          <w:spacing w:val="11"/>
          <w:lang w:eastAsia="zh-CN"/>
        </w:rPr>
        <w:t>混凝土</w:t>
      </w:r>
      <w:r>
        <w:rPr>
          <w:spacing w:val="11"/>
        </w:rPr>
        <w:t>重量按国家标准范围或乙方提供的配合</w:t>
      </w:r>
      <w:r>
        <w:rPr>
          <w:spacing w:val="10"/>
        </w:rPr>
        <w:t>比容重计算，每车方量</w:t>
      </w:r>
      <w:r>
        <w:rPr>
          <w:rFonts w:hint="eastAsia"/>
          <w:color w:val="auto"/>
          <w:spacing w:val="10"/>
          <w:lang w:val="en-US" w:eastAsia="zh-CN"/>
        </w:rPr>
        <w:t>应与发货单数量一致</w:t>
      </w:r>
      <w:r>
        <w:rPr>
          <w:color w:val="auto"/>
          <w:spacing w:val="4"/>
        </w:rPr>
        <w:t>；</w:t>
      </w:r>
    </w:p>
    <w:p w14:paraId="5686E696">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7"/>
        <w:jc w:val="both"/>
        <w:textAlignment w:val="baseline"/>
        <w:rPr>
          <w:rFonts w:hint="default"/>
          <w:color w:val="auto"/>
          <w:lang w:val="en-US"/>
        </w:rPr>
      </w:pPr>
      <w:r>
        <w:rPr>
          <w:spacing w:val="9"/>
        </w:rPr>
        <w:t>（3）每车当场验收，甲方如对进场的</w:t>
      </w:r>
      <w:r>
        <w:rPr>
          <w:rFonts w:hint="eastAsia"/>
          <w:spacing w:val="9"/>
          <w:lang w:eastAsia="zh-CN"/>
        </w:rPr>
        <w:t>混凝土</w:t>
      </w:r>
      <w:r>
        <w:rPr>
          <w:spacing w:val="9"/>
        </w:rPr>
        <w:t>数量有异议，可随车抽验</w:t>
      </w:r>
      <w:r>
        <w:rPr>
          <w:rFonts w:hint="eastAsia"/>
          <w:spacing w:val="9"/>
          <w:lang w:eastAsia="zh-CN"/>
        </w:rPr>
        <w:t>。</w:t>
      </w:r>
      <w:r>
        <w:rPr>
          <w:rFonts w:hint="eastAsia"/>
          <w:color w:val="auto"/>
          <w:spacing w:val="9"/>
          <w:lang w:val="en-US" w:eastAsia="zh-CN"/>
        </w:rPr>
        <w:t>若抽验三车以上的平均值与发货单数量的误差在</w:t>
      </w:r>
      <w:r>
        <w:rPr>
          <w:rFonts w:hint="eastAsia"/>
          <w:color w:val="auto"/>
          <w:spacing w:val="5"/>
        </w:rPr>
        <w:t>±</w:t>
      </w:r>
      <w:r>
        <w:rPr>
          <w:color w:val="auto"/>
          <w:spacing w:val="-37"/>
        </w:rPr>
        <w:t xml:space="preserve"> </w:t>
      </w:r>
      <w:r>
        <w:rPr>
          <w:color w:val="auto"/>
          <w:spacing w:val="5"/>
        </w:rPr>
        <w:t>2%</w:t>
      </w:r>
      <w:r>
        <w:rPr>
          <w:rFonts w:hint="eastAsia"/>
          <w:color w:val="auto"/>
          <w:spacing w:val="5"/>
          <w:lang w:val="en-US" w:eastAsia="zh-CN"/>
        </w:rPr>
        <w:t>内则视为计量准确</w:t>
      </w:r>
      <w:r>
        <w:rPr>
          <w:rFonts w:hint="eastAsia"/>
          <w:color w:val="auto"/>
          <w:spacing w:val="4"/>
          <w:lang w:eastAsia="zh-CN"/>
        </w:rPr>
        <w:t>。</w:t>
      </w:r>
      <w:r>
        <w:rPr>
          <w:rFonts w:hint="eastAsia"/>
          <w:color w:val="auto"/>
          <w:spacing w:val="4"/>
          <w:lang w:val="en-US" w:eastAsia="zh-CN"/>
        </w:rPr>
        <w:t>如误差</w:t>
      </w:r>
      <w:r>
        <w:rPr>
          <w:rFonts w:hint="eastAsia"/>
          <w:color w:val="auto"/>
          <w:spacing w:val="5"/>
          <w:lang w:val="en-US" w:eastAsia="zh-CN"/>
        </w:rPr>
        <w:t>超过</w:t>
      </w:r>
      <w:r>
        <w:rPr>
          <w:rFonts w:hint="eastAsia"/>
          <w:color w:val="auto"/>
          <w:spacing w:val="5"/>
        </w:rPr>
        <w:t>±</w:t>
      </w:r>
      <w:r>
        <w:rPr>
          <w:color w:val="auto"/>
          <w:spacing w:val="-37"/>
        </w:rPr>
        <w:t xml:space="preserve"> </w:t>
      </w:r>
      <w:r>
        <w:rPr>
          <w:color w:val="auto"/>
          <w:spacing w:val="5"/>
        </w:rPr>
        <w:t>2%</w:t>
      </w:r>
      <w:r>
        <w:rPr>
          <w:rFonts w:hint="eastAsia"/>
          <w:color w:val="auto"/>
          <w:spacing w:val="5"/>
          <w:lang w:eastAsia="zh-CN"/>
        </w:rPr>
        <w:t>，</w:t>
      </w:r>
      <w:r>
        <w:rPr>
          <w:color w:val="auto"/>
          <w:spacing w:val="5"/>
        </w:rPr>
        <w:t>视为</w:t>
      </w:r>
      <w:r>
        <w:rPr>
          <w:rFonts w:hint="eastAsia"/>
          <w:color w:val="auto"/>
          <w:spacing w:val="5"/>
          <w:lang w:val="en-US" w:eastAsia="zh-CN"/>
        </w:rPr>
        <w:t>乙方未按约定交货，其中数量不足部分，以抽检三车以上的平均值作为基准数结算货款；数量超额部分，</w:t>
      </w:r>
      <w:r>
        <w:rPr>
          <w:rFonts w:hint="default"/>
          <w:color w:val="auto"/>
          <w:spacing w:val="5"/>
          <w:lang w:val="en-US" w:eastAsia="zh-CN"/>
        </w:rPr>
        <w:t>则不予计算货款</w:t>
      </w:r>
      <w:r>
        <w:rPr>
          <w:rFonts w:hint="eastAsia"/>
          <w:color w:val="auto"/>
          <w:spacing w:val="5"/>
          <w:lang w:val="en-US" w:eastAsia="zh-CN"/>
        </w:rPr>
        <w:t>。</w:t>
      </w:r>
    </w:p>
    <w:p w14:paraId="77E0C76D">
      <w:pPr>
        <w:pStyle w:val="7"/>
        <w:keepNext w:val="0"/>
        <w:keepLines w:val="0"/>
        <w:pageBreakBefore w:val="0"/>
        <w:widowControl/>
        <w:tabs>
          <w:tab w:val="left" w:pos="210"/>
        </w:tabs>
        <w:kinsoku w:val="0"/>
        <w:wordWrap/>
        <w:overflowPunct/>
        <w:topLinePunct w:val="0"/>
        <w:autoSpaceDE w:val="0"/>
        <w:autoSpaceDN w:val="0"/>
        <w:bidi w:val="0"/>
        <w:adjustRightInd w:val="0"/>
        <w:snapToGrid w:val="0"/>
        <w:spacing w:before="114" w:line="300" w:lineRule="auto"/>
        <w:ind w:left="0" w:right="31" w:firstLine="449"/>
        <w:jc w:val="both"/>
        <w:textAlignment w:val="baseline"/>
        <w:rPr>
          <w:rFonts w:hint="eastAsia"/>
          <w:spacing w:val="8"/>
          <w:lang w:eastAsia="zh-CN"/>
        </w:rPr>
      </w:pPr>
      <w:r>
        <w:rPr>
          <w:spacing w:val="8"/>
        </w:rPr>
        <w:t>（4）</w:t>
      </w:r>
      <w:r>
        <w:rPr>
          <w:spacing w:val="-50"/>
        </w:rPr>
        <w:t xml:space="preserve"> </w:t>
      </w:r>
      <w:r>
        <w:rPr>
          <w:spacing w:val="8"/>
        </w:rPr>
        <w:t>甲方指定专人收货，甲方指定收</w:t>
      </w:r>
      <w:r>
        <w:rPr>
          <w:spacing w:val="7"/>
        </w:rPr>
        <w:t>货人为：</w:t>
      </w:r>
      <w:r>
        <w:rPr>
          <w:spacing w:val="7"/>
          <w:u w:val="single" w:color="auto"/>
        </w:rPr>
        <w:t xml:space="preserve">    </w:t>
      </w:r>
      <w:r>
        <w:rPr>
          <w:rFonts w:hint="eastAsia"/>
          <w:spacing w:val="7"/>
          <w:u w:val="single" w:color="auto"/>
          <w:lang w:val="en-US" w:eastAsia="zh-CN"/>
        </w:rPr>
        <w:t xml:space="preserve">     </w:t>
      </w:r>
      <w:r>
        <w:rPr>
          <w:spacing w:val="7"/>
          <w:u w:val="single" w:color="auto"/>
        </w:rPr>
        <w:t xml:space="preserve"> </w:t>
      </w:r>
      <w:r>
        <w:rPr>
          <w:spacing w:val="-67"/>
        </w:rPr>
        <w:t xml:space="preserve"> </w:t>
      </w:r>
      <w:r>
        <w:rPr>
          <w:spacing w:val="7"/>
        </w:rPr>
        <w:t>电话：</w:t>
      </w:r>
      <w:r>
        <w:rPr>
          <w:spacing w:val="7"/>
          <w:u w:val="single" w:color="auto"/>
        </w:rPr>
        <w:t xml:space="preserve">  </w:t>
      </w:r>
      <w:r>
        <w:rPr>
          <w:rFonts w:hint="eastAsia"/>
          <w:spacing w:val="7"/>
          <w:u w:val="single" w:color="auto"/>
          <w:lang w:val="en-US" w:eastAsia="zh-CN"/>
        </w:rPr>
        <w:t xml:space="preserve">    </w:t>
      </w:r>
      <w:r>
        <w:rPr>
          <w:spacing w:val="7"/>
          <w:u w:val="single" w:color="auto"/>
        </w:rPr>
        <w:t xml:space="preserve">   </w:t>
      </w:r>
      <w:r>
        <w:rPr>
          <w:rFonts w:hint="eastAsia"/>
          <w:spacing w:val="7"/>
          <w:u w:val="none" w:color="auto"/>
          <w:lang w:eastAsia="zh-CN"/>
        </w:rPr>
        <w:t>，</w:t>
      </w:r>
      <w:r>
        <w:rPr>
          <w:spacing w:val="7"/>
        </w:rPr>
        <w:t>（甲方提定专人收货人员二人或多人，则二人或多人共同签署为有效</w:t>
      </w:r>
      <w:r>
        <w:rPr>
          <w:spacing w:val="-15"/>
        </w:rPr>
        <w:t>认可）。</w:t>
      </w:r>
      <w:r>
        <w:rPr>
          <w:spacing w:val="8"/>
        </w:rPr>
        <w:t>收货凭证未经甲、乙双方指定委派人员签字一律无效</w:t>
      </w:r>
      <w:r>
        <w:rPr>
          <w:rFonts w:hint="eastAsia"/>
          <w:spacing w:val="8"/>
          <w:lang w:eastAsia="zh-CN"/>
        </w:rPr>
        <w:t>。</w:t>
      </w:r>
      <w:r>
        <w:rPr>
          <w:rFonts w:hint="eastAsia"/>
          <w:spacing w:val="-2"/>
          <w:highlight w:val="none"/>
          <w:lang w:val="en-US" w:eastAsia="zh-CN"/>
        </w:rPr>
        <w:t>若收货人变更的，甲方于两日内书面通知乙方，自乙方收到之日起生效。</w:t>
      </w:r>
    </w:p>
    <w:p w14:paraId="13A12827">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46"/>
        <w:jc w:val="both"/>
        <w:textAlignment w:val="baseline"/>
        <w:rPr>
          <w:rFonts w:hint="eastAsia"/>
          <w:b/>
          <w:bCs/>
          <w:color w:val="FF0000"/>
          <w:spacing w:val="7"/>
          <w:highlight w:val="none"/>
        </w:rPr>
      </w:pPr>
      <w:r>
        <w:rPr>
          <w:b/>
          <w:bCs/>
          <w:color w:val="FF0000"/>
          <w:spacing w:val="7"/>
          <w:lang w:eastAsia="zh-CN"/>
        </w:rPr>
        <w:t>特别提醒：</w:t>
      </w:r>
      <w:r>
        <w:rPr>
          <w:b/>
          <w:bCs/>
          <w:color w:val="FF0000"/>
          <w:spacing w:val="7"/>
          <w:u w:val="single"/>
          <w:lang w:eastAsia="zh-CN"/>
        </w:rPr>
        <w:t>本合同甲方指定收货人签收的货物采购数量权限仅为本合同约定</w:t>
      </w:r>
      <w:r>
        <w:rPr>
          <w:b/>
          <w:bCs/>
          <w:color w:val="FF0000"/>
          <w:spacing w:val="6"/>
          <w:u w:val="single"/>
          <w:lang w:eastAsia="zh-CN"/>
        </w:rPr>
        <w:t>采购数量范围内</w:t>
      </w:r>
      <w:r>
        <w:rPr>
          <w:rFonts w:hint="eastAsia"/>
          <w:b/>
          <w:bCs/>
          <w:color w:val="FF0000"/>
          <w:spacing w:val="6"/>
          <w:u w:val="single"/>
          <w:lang w:eastAsia="zh-CN"/>
        </w:rPr>
        <w:t>。若甲方指定收货人对本合同</w:t>
      </w:r>
      <w:r>
        <w:rPr>
          <w:rFonts w:hint="eastAsia"/>
          <w:b/>
          <w:bCs/>
          <w:color w:val="FF0000"/>
          <w:spacing w:val="6"/>
          <w:u w:val="single"/>
          <w:lang w:val="en-US" w:eastAsia="zh-CN"/>
        </w:rPr>
        <w:t>约定数量的100%范围之外的</w:t>
      </w:r>
      <w:r>
        <w:rPr>
          <w:rFonts w:hint="eastAsia"/>
          <w:b/>
          <w:bCs/>
          <w:color w:val="FF0000"/>
          <w:spacing w:val="6"/>
          <w:u w:val="single"/>
          <w:lang w:eastAsia="zh-CN"/>
        </w:rPr>
        <w:t>签收，均属无效签收，甲方对此</w:t>
      </w:r>
      <w:r>
        <w:rPr>
          <w:rFonts w:hint="eastAsia"/>
          <w:b/>
          <w:bCs/>
          <w:color w:val="FF0000"/>
          <w:spacing w:val="4"/>
          <w:u w:val="single"/>
          <w:lang w:eastAsia="zh-CN"/>
        </w:rPr>
        <w:t>不负有支付义务</w:t>
      </w:r>
      <w:r>
        <w:rPr>
          <w:b/>
          <w:bCs/>
          <w:color w:val="FF0000"/>
          <w:spacing w:val="6"/>
          <w:u w:val="single"/>
          <w:lang w:eastAsia="zh-CN"/>
        </w:rPr>
        <w:t>。</w:t>
      </w:r>
    </w:p>
    <w:p w14:paraId="159812C2">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30" w:line="300" w:lineRule="auto"/>
        <w:ind w:right="0" w:rightChars="0" w:firstLine="452" w:firstLineChars="200"/>
        <w:jc w:val="both"/>
        <w:textAlignment w:val="baseline"/>
      </w:pPr>
      <w:r>
        <w:rPr>
          <w:spacing w:val="8"/>
        </w:rPr>
        <w:t>（</w:t>
      </w:r>
      <w:r>
        <w:rPr>
          <w:rFonts w:hint="eastAsia"/>
          <w:spacing w:val="8"/>
          <w:lang w:val="en-US" w:eastAsia="zh-CN"/>
        </w:rPr>
        <w:t>5</w:t>
      </w:r>
      <w:r>
        <w:rPr>
          <w:spacing w:val="8"/>
        </w:rPr>
        <w:t>）乙方委派人员负责解决送货前后需要乙方协调的问题，并参与货物的验收和签证工作。</w:t>
      </w:r>
      <w:r>
        <w:rPr>
          <w:spacing w:val="9"/>
        </w:rPr>
        <w:t>乙方对委派代表及其授权的其他代表签字确</w:t>
      </w:r>
      <w:r>
        <w:rPr>
          <w:spacing w:val="8"/>
        </w:rPr>
        <w:t>认的所有文件均予以认可。</w:t>
      </w:r>
      <w:r>
        <w:rPr>
          <w:spacing w:val="5"/>
        </w:rPr>
        <w:t>乙方委派人员：</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5"/>
        </w:rPr>
        <w:t xml:space="preserve"> 职务：</w:t>
      </w:r>
      <w:r>
        <w:rPr>
          <w:spacing w:val="6"/>
          <w:u w:val="single" w:color="auto"/>
        </w:rPr>
        <w:t xml:space="preserve">      </w:t>
      </w:r>
      <w:r>
        <w:rPr>
          <w:spacing w:val="17"/>
        </w:rPr>
        <w:t xml:space="preserve"> </w:t>
      </w:r>
      <w:r>
        <w:rPr>
          <w:spacing w:val="5"/>
        </w:rPr>
        <w:t>联系电话：</w:t>
      </w:r>
      <w:r>
        <w:rPr>
          <w:spacing w:val="11"/>
          <w:u w:val="single" w:color="auto"/>
        </w:rPr>
        <w:t xml:space="preserve">    </w:t>
      </w:r>
      <w:r>
        <w:rPr>
          <w:rFonts w:hint="eastAsia"/>
          <w:spacing w:val="11"/>
          <w:u w:val="single" w:color="auto"/>
          <w:lang w:val="en-US" w:eastAsia="zh-CN"/>
        </w:rPr>
        <w:t xml:space="preserve">   </w:t>
      </w:r>
      <w:r>
        <w:rPr>
          <w:spacing w:val="11"/>
          <w:u w:val="single" w:color="auto"/>
        </w:rPr>
        <w:t xml:space="preserve"> </w:t>
      </w:r>
      <w:r>
        <w:rPr>
          <w:spacing w:val="5"/>
          <w:u w:val="none" w:color="auto"/>
        </w:rPr>
        <w:t>。</w:t>
      </w:r>
      <w:r>
        <w:t xml:space="preserve"> </w:t>
      </w:r>
      <w:r>
        <w:rPr>
          <w:spacing w:val="8"/>
        </w:rPr>
        <w:t>如需变更现场代表应事先征得甲方书面同意。</w:t>
      </w:r>
    </w:p>
    <w:p w14:paraId="0346FC09">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52" w:firstLineChars="200"/>
        <w:jc w:val="both"/>
        <w:textAlignment w:val="baseline"/>
      </w:pPr>
      <w:r>
        <w:rPr>
          <w:spacing w:val="8"/>
        </w:rPr>
        <w:t>4.双方约定</w:t>
      </w:r>
      <w:r>
        <w:rPr>
          <w:rFonts w:hint="eastAsia"/>
          <w:spacing w:val="8"/>
          <w:lang w:eastAsia="zh-CN"/>
        </w:rPr>
        <w:t>混凝土</w:t>
      </w:r>
      <w:r>
        <w:rPr>
          <w:spacing w:val="8"/>
        </w:rPr>
        <w:t>的计量采用下列第</w:t>
      </w:r>
      <w:r>
        <w:rPr>
          <w:spacing w:val="8"/>
          <w:u w:val="single" w:color="auto"/>
        </w:rPr>
        <w:t>（2）</w:t>
      </w:r>
      <w:r>
        <w:rPr>
          <w:spacing w:val="8"/>
        </w:rPr>
        <w:t>种方式确定后以</w:t>
      </w:r>
      <w:r>
        <w:rPr>
          <w:spacing w:val="-43"/>
        </w:rPr>
        <w:t xml:space="preserve"> </w:t>
      </w:r>
      <w:r>
        <w:rPr>
          <w:spacing w:val="8"/>
        </w:rPr>
        <w:t>m</w:t>
      </w:r>
      <w:r>
        <w:rPr>
          <w:spacing w:val="8"/>
          <w:position w:val="10"/>
          <w:sz w:val="10"/>
          <w:szCs w:val="10"/>
        </w:rPr>
        <w:t>3</w:t>
      </w:r>
      <w:r>
        <w:rPr>
          <w:spacing w:val="-15"/>
          <w:position w:val="10"/>
          <w:sz w:val="10"/>
          <w:szCs w:val="10"/>
        </w:rPr>
        <w:t xml:space="preserve"> </w:t>
      </w:r>
      <w:r>
        <w:rPr>
          <w:spacing w:val="8"/>
        </w:rPr>
        <w:t>计：</w:t>
      </w:r>
    </w:p>
    <w:p w14:paraId="5D8DA2AB">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right="0" w:firstLine="452" w:firstLineChars="200"/>
        <w:jc w:val="both"/>
        <w:textAlignment w:val="baseline"/>
      </w:pPr>
      <w:r>
        <w:rPr>
          <w:spacing w:val="8"/>
        </w:rPr>
        <w:t>（1）</w:t>
      </w:r>
      <w:r>
        <w:rPr>
          <w:spacing w:val="-57"/>
        </w:rPr>
        <w:t xml:space="preserve"> </w:t>
      </w:r>
      <w:r>
        <w:rPr>
          <w:spacing w:val="8"/>
        </w:rPr>
        <w:t>以混凝土浇筑部位按施工图纸计量（不扣钢筋体积，不加混凝土</w:t>
      </w:r>
      <w:r>
        <w:rPr>
          <w:spacing w:val="7"/>
        </w:rPr>
        <w:t>损耗</w:t>
      </w:r>
      <w:r>
        <w:rPr>
          <w:spacing w:val="-54"/>
        </w:rPr>
        <w:t>）；</w:t>
      </w:r>
    </w:p>
    <w:p w14:paraId="6C50A5BC">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0" w:firstLineChars="200"/>
        <w:jc w:val="both"/>
        <w:textAlignment w:val="baseline"/>
      </w:pPr>
      <w:r>
        <w:rPr>
          <w:spacing w:val="5"/>
        </w:rPr>
        <w:t>（2）</w:t>
      </w:r>
      <w:r>
        <w:rPr>
          <w:spacing w:val="-41"/>
        </w:rPr>
        <w:t xml:space="preserve"> </w:t>
      </w:r>
      <w:r>
        <w:rPr>
          <w:spacing w:val="5"/>
        </w:rPr>
        <w:t>以经签收确认的</w:t>
      </w:r>
      <w:r>
        <w:rPr>
          <w:rFonts w:hint="eastAsia"/>
          <w:spacing w:val="5"/>
          <w:lang w:eastAsia="zh-CN"/>
        </w:rPr>
        <w:t>混凝土</w:t>
      </w:r>
      <w:r>
        <w:rPr>
          <w:spacing w:val="5"/>
        </w:rPr>
        <w:t>的实际数量按</w:t>
      </w:r>
      <w:r>
        <w:rPr>
          <w:spacing w:val="-45"/>
        </w:rPr>
        <w:t xml:space="preserve"> </w:t>
      </w:r>
      <w:r>
        <w:rPr>
          <w:spacing w:val="5"/>
        </w:rPr>
        <w:t>m</w:t>
      </w:r>
      <w:r>
        <w:rPr>
          <w:spacing w:val="5"/>
          <w:position w:val="10"/>
          <w:sz w:val="10"/>
          <w:szCs w:val="10"/>
        </w:rPr>
        <w:t>3</w:t>
      </w:r>
      <w:r>
        <w:rPr>
          <w:spacing w:val="-15"/>
          <w:position w:val="10"/>
          <w:sz w:val="10"/>
          <w:szCs w:val="10"/>
        </w:rPr>
        <w:t xml:space="preserve"> </w:t>
      </w:r>
      <w:r>
        <w:rPr>
          <w:spacing w:val="5"/>
        </w:rPr>
        <w:t>计算。</w:t>
      </w:r>
    </w:p>
    <w:p w14:paraId="2CAE8644">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50" w:firstLineChars="200"/>
        <w:jc w:val="both"/>
        <w:textAlignment w:val="baseline"/>
        <w:outlineLvl w:val="1"/>
        <w:rPr>
          <w:rFonts w:hint="default" w:eastAsia="宋体"/>
          <w:spacing w:val="7"/>
          <w:lang w:val="en-US" w:eastAsia="zh-CN"/>
        </w:rPr>
      </w:pPr>
      <w:bookmarkStart w:id="650" w:name="_Toc30053"/>
      <w:r>
        <w:rPr>
          <w:b/>
          <w:bCs/>
          <w:spacing w:val="7"/>
        </w:rPr>
        <w:t>第四条、材料款支付与结算</w:t>
      </w:r>
      <w:bookmarkEnd w:id="650"/>
    </w:p>
    <w:p w14:paraId="45F073CB">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48" w:firstLineChars="200"/>
        <w:jc w:val="both"/>
        <w:textAlignment w:val="baseline"/>
      </w:pPr>
      <w:r>
        <w:rPr>
          <w:rFonts w:hint="eastAsia"/>
          <w:spacing w:val="7"/>
          <w:lang w:val="en-US" w:eastAsia="zh-CN"/>
        </w:rPr>
        <w:t>1.</w:t>
      </w:r>
      <w:r>
        <w:rPr>
          <w:spacing w:val="7"/>
        </w:rPr>
        <w:t>付款方式及期限，按以下第</w:t>
      </w:r>
      <w:r>
        <w:rPr>
          <w:spacing w:val="-96"/>
        </w:rPr>
        <w:t xml:space="preserve"> </w:t>
      </w:r>
      <w:r>
        <w:rPr>
          <w:spacing w:val="5"/>
          <w:u w:val="single" w:color="auto"/>
        </w:rPr>
        <w:t xml:space="preserve">     </w:t>
      </w:r>
      <w:r>
        <w:rPr>
          <w:spacing w:val="-91"/>
        </w:rPr>
        <w:t xml:space="preserve"> </w:t>
      </w:r>
      <w:r>
        <w:rPr>
          <w:spacing w:val="7"/>
        </w:rPr>
        <w:t>种方式执行：</w:t>
      </w:r>
    </w:p>
    <w:p w14:paraId="78E865EF">
      <w:pPr>
        <w:pStyle w:val="7"/>
        <w:keepNext w:val="0"/>
        <w:keepLines w:val="0"/>
        <w:pageBreakBefore w:val="0"/>
        <w:widowControl/>
        <w:tabs>
          <w:tab w:val="left" w:pos="315"/>
        </w:tabs>
        <w:kinsoku w:val="0"/>
        <w:wordWrap/>
        <w:overflowPunct/>
        <w:topLinePunct w:val="0"/>
        <w:autoSpaceDE w:val="0"/>
        <w:autoSpaceDN w:val="0"/>
        <w:bidi w:val="0"/>
        <w:adjustRightInd w:val="0"/>
        <w:snapToGrid w:val="0"/>
        <w:spacing w:before="114" w:line="300" w:lineRule="auto"/>
        <w:ind w:left="0" w:right="0" w:firstLine="450"/>
        <w:jc w:val="both"/>
        <w:textAlignment w:val="baseline"/>
      </w:pPr>
      <w:r>
        <w:rPr>
          <w:spacing w:val="7"/>
        </w:rPr>
        <w:t>（1）</w:t>
      </w:r>
      <w:r>
        <w:rPr>
          <w:spacing w:val="-50"/>
        </w:rPr>
        <w:t xml:space="preserve"> </w:t>
      </w:r>
      <w:r>
        <w:rPr>
          <w:spacing w:val="7"/>
        </w:rPr>
        <w:t>甲方在次月</w:t>
      </w:r>
      <w:r>
        <w:rPr>
          <w:spacing w:val="-98"/>
        </w:rPr>
        <w:t xml:space="preserve"> </w:t>
      </w:r>
      <w:r>
        <w:rPr>
          <w:spacing w:val="5"/>
          <w:u w:val="single" w:color="auto"/>
        </w:rPr>
        <w:t xml:space="preserve">     </w:t>
      </w:r>
      <w:r>
        <w:rPr>
          <w:spacing w:val="-53"/>
        </w:rPr>
        <w:t xml:space="preserve"> </w:t>
      </w:r>
      <w:r>
        <w:rPr>
          <w:spacing w:val="7"/>
        </w:rPr>
        <w:t>日前支付上月</w:t>
      </w:r>
      <w:r>
        <w:rPr>
          <w:rFonts w:hint="eastAsia"/>
          <w:color w:val="auto"/>
          <w:spacing w:val="7"/>
          <w:lang w:val="en-US" w:eastAsia="zh-CN"/>
        </w:rPr>
        <w:t>双方对账确认的货款总额</w:t>
      </w:r>
      <w:r>
        <w:rPr>
          <w:spacing w:val="7"/>
        </w:rPr>
        <w:t>的</w:t>
      </w:r>
      <w:r>
        <w:rPr>
          <w:spacing w:val="7"/>
          <w:u w:val="single" w:color="auto"/>
        </w:rPr>
        <w:t xml:space="preserve">     </w:t>
      </w:r>
      <w:r>
        <w:rPr>
          <w:spacing w:val="7"/>
          <w:u w:val="none" w:color="auto"/>
        </w:rPr>
        <w:t>%</w:t>
      </w:r>
      <w:r>
        <w:rPr>
          <w:spacing w:val="7"/>
        </w:rPr>
        <w:t>。余款</w:t>
      </w:r>
      <w:r>
        <w:rPr>
          <w:spacing w:val="6"/>
          <w:u w:val="single" w:color="auto"/>
        </w:rPr>
        <w:t xml:space="preserve">      </w:t>
      </w:r>
      <w:r>
        <w:rPr>
          <w:spacing w:val="6"/>
        </w:rPr>
        <w:t>%在</w:t>
      </w:r>
      <w:r>
        <w:rPr>
          <w:rFonts w:hint="eastAsia"/>
          <w:spacing w:val="6"/>
          <w:u w:val="single"/>
          <w:lang w:val="en-US" w:eastAsia="zh-CN"/>
        </w:rPr>
        <w:t xml:space="preserve">         </w:t>
      </w:r>
      <w:r>
        <w:rPr>
          <w:spacing w:val="6"/>
        </w:rPr>
        <w:t>后</w:t>
      </w:r>
      <w:r>
        <w:rPr>
          <w:spacing w:val="6"/>
          <w:u w:val="single" w:color="auto"/>
        </w:rPr>
        <w:t xml:space="preserve"> </w:t>
      </w:r>
      <w:r>
        <w:rPr>
          <w:rFonts w:hint="eastAsia"/>
          <w:spacing w:val="6"/>
          <w:u w:val="single" w:color="auto"/>
          <w:lang w:val="en-US" w:eastAsia="zh-CN"/>
        </w:rPr>
        <w:t xml:space="preserve"> </w:t>
      </w:r>
      <w:r>
        <w:rPr>
          <w:spacing w:val="6"/>
          <w:u w:val="single" w:color="auto"/>
        </w:rPr>
        <w:t xml:space="preserve"> </w:t>
      </w:r>
      <w:r>
        <w:rPr>
          <w:u w:val="single" w:color="auto"/>
        </w:rPr>
        <w:tab/>
      </w:r>
      <w:r>
        <w:rPr>
          <w:spacing w:val="-92"/>
        </w:rPr>
        <w:t xml:space="preserve"> </w:t>
      </w:r>
      <w:r>
        <w:rPr>
          <w:spacing w:val="5"/>
        </w:rPr>
        <w:t>个月内付清。如甲方</w:t>
      </w:r>
      <w:r>
        <w:rPr>
          <w:rFonts w:hint="eastAsia"/>
          <w:color w:val="auto"/>
          <w:spacing w:val="5"/>
          <w:lang w:val="en-US" w:eastAsia="zh-CN"/>
        </w:rPr>
        <w:t>无正当理由</w:t>
      </w:r>
      <w:r>
        <w:rPr>
          <w:spacing w:val="5"/>
        </w:rPr>
        <w:t>付款不及时，造成工程延误的一切损失，乙方概不负责。具体支付方法</w:t>
      </w:r>
      <w:r>
        <w:rPr>
          <w:spacing w:val="-46"/>
          <w:w w:val="86"/>
        </w:rPr>
        <w:t>：（</w:t>
      </w:r>
      <w:r>
        <w:rPr>
          <w:spacing w:val="5"/>
        </w:rPr>
        <w:t>请勾选：</w:t>
      </w:r>
      <w:r>
        <w:rPr>
          <w:spacing w:val="-57"/>
        </w:rPr>
        <w:t xml:space="preserve"> </w:t>
      </w:r>
      <w:r>
        <w:rPr>
          <w:spacing w:val="5"/>
        </w:rPr>
        <w:t>□银行转账支付</w:t>
      </w:r>
      <w:r>
        <w:rPr>
          <w:spacing w:val="15"/>
        </w:rPr>
        <w:t xml:space="preserve">   </w:t>
      </w:r>
      <w:r>
        <w:rPr>
          <w:rFonts w:hint="eastAsia"/>
          <w:spacing w:val="5"/>
          <w:lang w:eastAsia="zh-CN"/>
        </w:rPr>
        <w:t>□</w:t>
      </w:r>
      <w:r>
        <w:rPr>
          <w:spacing w:val="5"/>
        </w:rPr>
        <w:t>银行承兑汇票）</w:t>
      </w:r>
    </w:p>
    <w:p w14:paraId="4600CEC4">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8" w:firstLineChars="200"/>
        <w:jc w:val="both"/>
        <w:textAlignment w:val="baseline"/>
        <w:rPr>
          <w:rFonts w:hint="default" w:eastAsia="宋体"/>
          <w:spacing w:val="11"/>
          <w:lang w:val="en-US" w:eastAsia="zh-CN"/>
        </w:rPr>
      </w:pPr>
      <w:r>
        <w:rPr>
          <w:spacing w:val="7"/>
        </w:rPr>
        <w:t>（2）</w:t>
      </w:r>
      <w:r>
        <w:rPr>
          <w:color w:val="auto"/>
          <w:spacing w:val="7"/>
        </w:rPr>
        <w:t>其他方式</w:t>
      </w:r>
      <w:r>
        <w:rPr>
          <w:color w:val="3E3E3E"/>
          <w:spacing w:val="7"/>
        </w:rPr>
        <w:t>：</w:t>
      </w:r>
      <w:r>
        <w:rPr>
          <w:color w:val="3E3E3E"/>
          <w:spacing w:val="7"/>
          <w:u w:val="single" w:color="000000"/>
        </w:rPr>
        <w:t xml:space="preserve">   </w:t>
      </w:r>
      <w:r>
        <w:rPr>
          <w:rFonts w:hint="eastAsia"/>
          <w:color w:val="3E3E3E"/>
          <w:spacing w:val="7"/>
          <w:u w:val="single" w:color="000000"/>
          <w:lang w:val="en-US" w:eastAsia="zh-CN"/>
        </w:rPr>
        <w:t xml:space="preserve">                                        </w:t>
      </w:r>
      <w:r>
        <w:rPr>
          <w:color w:val="3E3E3E"/>
          <w:spacing w:val="7"/>
          <w:u w:val="single" w:color="000000"/>
        </w:rPr>
        <w:t xml:space="preserve">  </w:t>
      </w:r>
      <w:r>
        <w:rPr>
          <w:color w:val="3E3E3E"/>
          <w:spacing w:val="-71"/>
        </w:rPr>
        <w:t xml:space="preserve"> </w:t>
      </w:r>
      <w:r>
        <w:rPr>
          <w:color w:val="3E3E3E"/>
          <w:spacing w:val="7"/>
        </w:rPr>
        <w:t>。</w:t>
      </w:r>
      <w:r>
        <w:rPr>
          <w:spacing w:val="7"/>
        </w:rPr>
        <w:t>具体支付方法</w:t>
      </w:r>
      <w:r>
        <w:rPr>
          <w:spacing w:val="-54"/>
        </w:rPr>
        <w:t>：</w:t>
      </w:r>
      <w:r>
        <w:rPr>
          <w:rFonts w:hint="eastAsia"/>
          <w:spacing w:val="-54"/>
          <w:lang w:eastAsia="zh-CN"/>
        </w:rPr>
        <w:t>（</w:t>
      </w:r>
      <w:r>
        <w:rPr>
          <w:spacing w:val="7"/>
        </w:rPr>
        <w:t>请勾选：</w:t>
      </w:r>
      <w:r>
        <w:rPr>
          <w:spacing w:val="-57"/>
        </w:rPr>
        <w:t xml:space="preserve"> </w:t>
      </w:r>
      <w:r>
        <w:rPr>
          <w:rFonts w:hint="eastAsia"/>
          <w:spacing w:val="7"/>
          <w:lang w:eastAsia="zh-CN"/>
        </w:rPr>
        <w:t>□</w:t>
      </w:r>
      <w:r>
        <w:rPr>
          <w:spacing w:val="7"/>
        </w:rPr>
        <w:t>银行转账支付  □银行承兑汇票）</w:t>
      </w:r>
    </w:p>
    <w:p w14:paraId="00D084EA">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23"/>
        <w:jc w:val="both"/>
        <w:textAlignment w:val="baseline"/>
      </w:pPr>
      <w:r>
        <w:rPr>
          <w:rFonts w:hint="eastAsia"/>
          <w:spacing w:val="11"/>
          <w:lang w:val="en-US" w:eastAsia="zh-CN"/>
        </w:rPr>
        <w:t>2.</w:t>
      </w:r>
      <w:r>
        <w:rPr>
          <w:spacing w:val="11"/>
        </w:rPr>
        <w:t>每期付款时，乙方按当期相应材料款提供等额、有效、合法的增值税发票，否</w:t>
      </w:r>
      <w:r>
        <w:rPr>
          <w:spacing w:val="10"/>
        </w:rPr>
        <w:t>则甲方有权</w:t>
      </w:r>
      <w:r>
        <w:rPr>
          <w:spacing w:val="7"/>
        </w:rPr>
        <w:t>拒绝付款。</w:t>
      </w:r>
    </w:p>
    <w:p w14:paraId="5D45ADB4">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60" w:firstLineChars="200"/>
        <w:jc w:val="both"/>
        <w:textAlignment w:val="baseline"/>
        <w:rPr>
          <w:spacing w:val="7"/>
        </w:rPr>
      </w:pPr>
      <w:r>
        <w:rPr>
          <w:spacing w:val="10"/>
        </w:rPr>
        <w:t>3．</w:t>
      </w:r>
      <w:r>
        <w:rPr>
          <w:rFonts w:hint="eastAsia"/>
          <w:color w:val="auto"/>
          <w:spacing w:val="10"/>
          <w:lang w:val="en-US" w:eastAsia="zh-CN"/>
        </w:rPr>
        <w:t>凡未经甲、乙双方核对确认的对账单，甲方有权拒绝付款。</w:t>
      </w:r>
      <w:r>
        <w:rPr>
          <w:color w:val="auto"/>
          <w:spacing w:val="10"/>
        </w:rPr>
        <w:t>如乙方未能及时提供资料，甲方有权拒绝支付</w:t>
      </w:r>
      <w:r>
        <w:rPr>
          <w:rFonts w:hint="eastAsia"/>
          <w:color w:val="auto"/>
          <w:spacing w:val="10"/>
          <w:lang w:val="en-US" w:eastAsia="zh-CN"/>
        </w:rPr>
        <w:t>货款</w:t>
      </w:r>
      <w:r>
        <w:rPr>
          <w:color w:val="auto"/>
          <w:spacing w:val="10"/>
        </w:rPr>
        <w:t>，并追究因乙</w:t>
      </w:r>
      <w:r>
        <w:rPr>
          <w:color w:val="auto"/>
          <w:spacing w:val="9"/>
        </w:rPr>
        <w:t>方原</w:t>
      </w:r>
      <w:r>
        <w:rPr>
          <w:spacing w:val="9"/>
        </w:rPr>
        <w:t>因给甲方造</w:t>
      </w:r>
      <w:r>
        <w:rPr>
          <w:spacing w:val="7"/>
        </w:rPr>
        <w:t>成的一切损失的责任。</w:t>
      </w:r>
    </w:p>
    <w:p w14:paraId="3A2CAF97">
      <w:pPr>
        <w:pStyle w:val="7"/>
        <w:keepNext w:val="0"/>
        <w:keepLines w:val="0"/>
        <w:pageBreakBefore w:val="0"/>
        <w:widowControl w:val="0"/>
        <w:kinsoku w:val="0"/>
        <w:wordWrap/>
        <w:overflowPunct/>
        <w:topLinePunct w:val="0"/>
        <w:autoSpaceDE w:val="0"/>
        <w:autoSpaceDN w:val="0"/>
        <w:bidi w:val="0"/>
        <w:adjustRightInd w:val="0"/>
        <w:snapToGrid w:val="0"/>
        <w:spacing w:before="93" w:line="300" w:lineRule="auto"/>
        <w:ind w:left="0" w:right="0" w:firstLine="431"/>
        <w:jc w:val="both"/>
        <w:textAlignment w:val="baseline"/>
        <w:rPr>
          <w:rFonts w:hint="default" w:eastAsia="宋体"/>
          <w:spacing w:val="7"/>
          <w:lang w:val="en-US" w:eastAsia="zh-CN"/>
        </w:rPr>
      </w:pPr>
      <w:r>
        <w:rPr>
          <w:rFonts w:hint="eastAsia"/>
          <w:spacing w:val="7"/>
          <w:lang w:val="en-US" w:eastAsia="zh-CN"/>
        </w:rPr>
        <w:t>4.</w:t>
      </w:r>
      <w:r>
        <w:rPr>
          <w:rFonts w:hint="eastAsia"/>
          <w:spacing w:val="8"/>
        </w:rPr>
        <w:t>甲方应按时支付乙方</w:t>
      </w:r>
      <w:r>
        <w:rPr>
          <w:rFonts w:hint="eastAsia"/>
          <w:spacing w:val="8"/>
          <w:lang w:val="en-US" w:eastAsia="zh-CN"/>
        </w:rPr>
        <w:t>货款</w:t>
      </w:r>
      <w:r>
        <w:rPr>
          <w:rFonts w:hint="eastAsia"/>
          <w:spacing w:val="8"/>
        </w:rPr>
        <w:t>，若因甲方资金不到位，乙方同意给予</w:t>
      </w:r>
      <w:r>
        <w:rPr>
          <w:rFonts w:hint="eastAsia"/>
          <w:spacing w:val="8"/>
          <w:u w:val="single"/>
          <w:lang w:val="en-US" w:eastAsia="zh-CN"/>
        </w:rPr>
        <w:t xml:space="preserve">    </w:t>
      </w:r>
      <w:r>
        <w:rPr>
          <w:rFonts w:hint="eastAsia"/>
          <w:spacing w:val="8"/>
        </w:rPr>
        <w:t>天宽限期</w:t>
      </w:r>
      <w:r>
        <w:rPr>
          <w:rFonts w:hint="eastAsia"/>
          <w:spacing w:val="8"/>
          <w:lang w:eastAsia="zh-CN"/>
        </w:rPr>
        <w:t>；</w:t>
      </w:r>
      <w:r>
        <w:rPr>
          <w:rFonts w:hint="eastAsia"/>
          <w:spacing w:val="8"/>
        </w:rPr>
        <w:t>乙方书面催告超过</w:t>
      </w:r>
      <w:r>
        <w:rPr>
          <w:rFonts w:hint="eastAsia"/>
          <w:spacing w:val="8"/>
          <w:u w:val="single"/>
          <w:lang w:val="en-US" w:eastAsia="zh-CN"/>
        </w:rPr>
        <w:t xml:space="preserve">    </w:t>
      </w:r>
      <w:r>
        <w:rPr>
          <w:rFonts w:hint="eastAsia"/>
          <w:spacing w:val="8"/>
        </w:rPr>
        <w:t>天未付，则视为甲方违约，甲方对未付款部分应按按同期全国银行间同业拆借中心公布的贷款市场报价利率（LPR）（一年期）计算违约金，违约金累计金额以本合同实际总</w:t>
      </w:r>
      <w:r>
        <w:rPr>
          <w:rFonts w:hint="eastAsia"/>
          <w:spacing w:val="8"/>
          <w:lang w:val="en-US" w:eastAsia="zh-CN"/>
        </w:rPr>
        <w:t>货款</w:t>
      </w:r>
      <w:r>
        <w:rPr>
          <w:rFonts w:hint="eastAsia"/>
          <w:spacing w:val="8"/>
        </w:rPr>
        <w:t>的</w:t>
      </w:r>
      <w:r>
        <w:rPr>
          <w:rFonts w:hint="eastAsia"/>
          <w:spacing w:val="8"/>
          <w:u w:val="single"/>
          <w:lang w:val="en-US" w:eastAsia="zh-CN"/>
        </w:rPr>
        <w:t xml:space="preserve">      </w:t>
      </w:r>
      <w:r>
        <w:rPr>
          <w:rFonts w:hint="eastAsia"/>
          <w:spacing w:val="8"/>
        </w:rPr>
        <w:t>%为上限。</w:t>
      </w:r>
    </w:p>
    <w:p w14:paraId="1A073FF7">
      <w:pPr>
        <w:pStyle w:val="7"/>
        <w:keepNext w:val="0"/>
        <w:keepLines w:val="0"/>
        <w:pageBreakBefore w:val="0"/>
        <w:widowControl w:val="0"/>
        <w:kinsoku w:val="0"/>
        <w:wordWrap/>
        <w:overflowPunct/>
        <w:topLinePunct w:val="0"/>
        <w:autoSpaceDE w:val="0"/>
        <w:autoSpaceDN w:val="0"/>
        <w:bidi w:val="0"/>
        <w:adjustRightInd w:val="0"/>
        <w:snapToGrid w:val="0"/>
        <w:spacing w:line="300" w:lineRule="auto"/>
        <w:ind w:left="214" w:leftChars="102" w:right="0" w:firstLine="224" w:firstLineChars="100"/>
        <w:jc w:val="left"/>
        <w:textAlignment w:val="baseline"/>
        <w:rPr>
          <w:spacing w:val="7"/>
        </w:rPr>
      </w:pPr>
      <w:r>
        <w:rPr>
          <w:rFonts w:hint="eastAsia"/>
          <w:spacing w:val="7"/>
          <w:lang w:val="en-US" w:eastAsia="zh-CN"/>
        </w:rPr>
        <w:t>5.</w:t>
      </w:r>
      <w:r>
        <w:rPr>
          <w:spacing w:val="7"/>
        </w:rPr>
        <w:t>发票的提供：</w:t>
      </w:r>
    </w:p>
    <w:p w14:paraId="04EF3A96">
      <w:pPr>
        <w:pStyle w:val="7"/>
        <w:keepNext w:val="0"/>
        <w:keepLines w:val="0"/>
        <w:pageBreakBefore w:val="0"/>
        <w:widowControl w:val="0"/>
        <w:kinsoku w:val="0"/>
        <w:wordWrap/>
        <w:overflowPunct/>
        <w:topLinePunct w:val="0"/>
        <w:autoSpaceDE w:val="0"/>
        <w:autoSpaceDN w:val="0"/>
        <w:bidi w:val="0"/>
        <w:adjustRightInd w:val="0"/>
        <w:snapToGrid w:val="0"/>
        <w:spacing w:line="300" w:lineRule="auto"/>
        <w:ind w:right="0" w:firstLine="448" w:firstLineChars="200"/>
        <w:jc w:val="left"/>
        <w:textAlignment w:val="baseline"/>
      </w:pPr>
      <w:r>
        <w:rPr>
          <w:spacing w:val="7"/>
        </w:rPr>
        <w:t>（1）</w:t>
      </w:r>
      <w:r>
        <w:rPr>
          <w:spacing w:val="9"/>
        </w:rPr>
        <w:t>在甲方向乙方支付合同价款前，乙方应向甲方开具增值税发票供甲方</w:t>
      </w:r>
      <w:r>
        <w:rPr>
          <w:spacing w:val="8"/>
        </w:rPr>
        <w:t>查验，</w:t>
      </w:r>
      <w:r>
        <w:rPr>
          <w:spacing w:val="-60"/>
        </w:rPr>
        <w:t xml:space="preserve"> </w:t>
      </w:r>
      <w:r>
        <w:rPr>
          <w:spacing w:val="8"/>
        </w:rPr>
        <w:t>以证明发票的</w:t>
      </w:r>
      <w:r>
        <w:rPr>
          <w:spacing w:val="9"/>
        </w:rPr>
        <w:t>真伪。否则，甲方有权拒绝付款并顺延付款</w:t>
      </w:r>
      <w:r>
        <w:rPr>
          <w:spacing w:val="8"/>
        </w:rPr>
        <w:t>时</w:t>
      </w:r>
      <w:r>
        <w:rPr>
          <w:spacing w:val="9"/>
        </w:rPr>
        <w:t>间, 且不承担责任。因乙方</w:t>
      </w:r>
      <w:r>
        <w:rPr>
          <w:spacing w:val="8"/>
        </w:rPr>
        <w:t>开具的发票不规范、不合</w:t>
      </w:r>
      <w:r>
        <w:rPr>
          <w:spacing w:val="9"/>
        </w:rPr>
        <w:t>法或涉嫌虚开发票引起税务问题的，乙方需依法向甲方重新开具发票，并向甲方承担赔偿责</w:t>
      </w:r>
      <w:r>
        <w:rPr>
          <w:spacing w:val="8"/>
        </w:rPr>
        <w:t>任等。</w:t>
      </w:r>
    </w:p>
    <w:p w14:paraId="45CD665F">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right="0" w:firstLine="452" w:firstLineChars="200"/>
        <w:jc w:val="both"/>
        <w:textAlignment w:val="baseline"/>
      </w:pPr>
      <w:r>
        <w:rPr>
          <w:spacing w:val="8"/>
        </w:rPr>
        <w:t>乙方向甲方开具的增值税发票，乙方必须确保发票票面信息全部真实，相关材料品目、价款等内容与本合同相一致。因发票票面信息有误导致发票不能抵扣税款或者被认定为虚开的，乙</w:t>
      </w:r>
      <w:r>
        <w:rPr>
          <w:spacing w:val="7"/>
        </w:rPr>
        <w:t>方需向</w:t>
      </w:r>
      <w:r>
        <w:rPr>
          <w:spacing w:val="5"/>
        </w:rPr>
        <w:t>甲方承担</w:t>
      </w:r>
      <w:r>
        <w:rPr>
          <w:rFonts w:hint="eastAsia"/>
          <w:spacing w:val="5"/>
        </w:rPr>
        <w:t>全部罚款、滞纳金及甲方因此支出的合理费用（包括律师费、差旅费）等赔偿责任</w:t>
      </w:r>
      <w:r>
        <w:rPr>
          <w:spacing w:val="5"/>
        </w:rPr>
        <w:t>。</w:t>
      </w:r>
      <w:r>
        <w:rPr>
          <w:spacing w:val="7"/>
        </w:rPr>
        <w:t>乙方收取价外费用的，需依法开具增值税发票。必要时，</w:t>
      </w:r>
      <w:r>
        <w:rPr>
          <w:spacing w:val="-43"/>
        </w:rPr>
        <w:t xml:space="preserve"> </w:t>
      </w:r>
      <w:r>
        <w:rPr>
          <w:spacing w:val="7"/>
        </w:rPr>
        <w:t>甲方需协助乙方提供开票所需资料。</w:t>
      </w:r>
    </w:p>
    <w:p w14:paraId="10B4AEED">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48" w:firstLineChars="200"/>
        <w:jc w:val="both"/>
        <w:textAlignment w:val="baseline"/>
        <w:rPr>
          <w:rFonts w:hint="eastAsia" w:eastAsia="宋体"/>
          <w:lang w:eastAsia="zh-CN"/>
        </w:rPr>
      </w:pPr>
      <w:r>
        <w:rPr>
          <w:spacing w:val="7"/>
        </w:rPr>
        <w:t>（</w:t>
      </w:r>
      <w:r>
        <w:rPr>
          <w:rFonts w:hint="eastAsia"/>
          <w:spacing w:val="7"/>
          <w:lang w:val="en-US" w:eastAsia="zh-CN"/>
        </w:rPr>
        <w:t>2</w:t>
      </w:r>
      <w:r>
        <w:rPr>
          <w:spacing w:val="7"/>
        </w:rPr>
        <w:t>）</w:t>
      </w:r>
      <w:r>
        <w:rPr>
          <w:spacing w:val="8"/>
        </w:rPr>
        <w:t>如因乙方提供非法发票导致甲方产生税务风险或经济处罚，全部损失由乙方承担</w:t>
      </w:r>
      <w:r>
        <w:rPr>
          <w:rFonts w:hint="eastAsia"/>
          <w:spacing w:val="8"/>
          <w:lang w:eastAsia="zh-CN"/>
        </w:rPr>
        <w:t>；</w:t>
      </w:r>
    </w:p>
    <w:p w14:paraId="2733147E">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firstLine="448" w:firstLineChars="200"/>
        <w:jc w:val="both"/>
        <w:textAlignment w:val="baseline"/>
      </w:pPr>
      <w:r>
        <w:rPr>
          <w:spacing w:val="7"/>
        </w:rPr>
        <w:t>（</w:t>
      </w:r>
      <w:r>
        <w:rPr>
          <w:rFonts w:hint="eastAsia"/>
          <w:spacing w:val="7"/>
          <w:lang w:val="en-US" w:eastAsia="zh-CN"/>
        </w:rPr>
        <w:t>3</w:t>
      </w:r>
      <w:r>
        <w:rPr>
          <w:spacing w:val="7"/>
        </w:rPr>
        <w:t>）</w:t>
      </w:r>
      <w:r>
        <w:rPr>
          <w:spacing w:val="10"/>
        </w:rPr>
        <w:t>任何一方在未经对方同意前，不得将本合同中的债权债务，转让</w:t>
      </w:r>
      <w:r>
        <w:rPr>
          <w:spacing w:val="9"/>
        </w:rPr>
        <w:t>给第三者或向第三人提供</w:t>
      </w:r>
      <w:r>
        <w:rPr>
          <w:spacing w:val="6"/>
        </w:rPr>
        <w:t>担保、抵押。</w:t>
      </w:r>
    </w:p>
    <w:p w14:paraId="1D313B6E">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48" w:firstLineChars="200"/>
        <w:jc w:val="both"/>
        <w:textAlignment w:val="baseline"/>
      </w:pPr>
      <w:r>
        <w:rPr>
          <w:spacing w:val="7"/>
        </w:rPr>
        <w:t>（</w:t>
      </w:r>
      <w:r>
        <w:rPr>
          <w:rFonts w:hint="eastAsia"/>
          <w:spacing w:val="7"/>
          <w:lang w:val="en-US" w:eastAsia="zh-CN"/>
        </w:rPr>
        <w:t>4</w:t>
      </w:r>
      <w:r>
        <w:rPr>
          <w:spacing w:val="7"/>
        </w:rPr>
        <w:t>）</w:t>
      </w:r>
      <w:r>
        <w:rPr>
          <w:spacing w:val="6"/>
        </w:rPr>
        <w:t>甲、乙双方纳税人识别号、收款账号如下：</w:t>
      </w:r>
    </w:p>
    <w:p w14:paraId="150F419E">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sz w:val="2"/>
        </w:rPr>
      </w:pPr>
    </w:p>
    <w:tbl>
      <w:tblPr>
        <w:tblStyle w:val="31"/>
        <w:tblW w:w="90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840"/>
        <w:gridCol w:w="6467"/>
      </w:tblGrid>
      <w:tr w14:paraId="45240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53" w:type="dxa"/>
            <w:vMerge w:val="restart"/>
            <w:tcBorders>
              <w:top w:val="single" w:color="000000" w:sz="10" w:space="0"/>
              <w:left w:val="single" w:color="000000" w:sz="10" w:space="0"/>
              <w:bottom w:val="nil"/>
            </w:tcBorders>
            <w:vAlign w:val="top"/>
          </w:tcPr>
          <w:p w14:paraId="22712F5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20B4E761">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1632ECC7">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3BD18126">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sz w:val="20"/>
                <w:szCs w:val="20"/>
              </w:rPr>
            </w:pPr>
            <w:r>
              <w:rPr>
                <w:rFonts w:ascii="宋体" w:hAnsi="宋体" w:eastAsia="宋体" w:cs="宋体"/>
                <w:b/>
                <w:bCs/>
                <w:spacing w:val="-10"/>
                <w:sz w:val="20"/>
                <w:szCs w:val="20"/>
              </w:rPr>
              <w:t>甲方</w:t>
            </w:r>
          </w:p>
        </w:tc>
        <w:tc>
          <w:tcPr>
            <w:tcW w:w="1840" w:type="dxa"/>
            <w:tcBorders>
              <w:top w:val="single" w:color="000000" w:sz="10" w:space="0"/>
            </w:tcBorders>
            <w:vAlign w:val="top"/>
          </w:tcPr>
          <w:p w14:paraId="6A740A1A">
            <w:pPr>
              <w:keepNext w:val="0"/>
              <w:keepLines w:val="0"/>
              <w:pageBreakBefore w:val="0"/>
              <w:widowControl/>
              <w:kinsoku w:val="0"/>
              <w:wordWrap/>
              <w:overflowPunct/>
              <w:topLinePunct w:val="0"/>
              <w:autoSpaceDE w:val="0"/>
              <w:autoSpaceDN w:val="0"/>
              <w:bidi w:val="0"/>
              <w:adjustRightInd w:val="0"/>
              <w:snapToGrid w:val="0"/>
              <w:spacing w:before="144" w:line="300" w:lineRule="auto"/>
              <w:ind w:left="0" w:right="0"/>
              <w:jc w:val="center"/>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p>
        </w:tc>
        <w:tc>
          <w:tcPr>
            <w:tcW w:w="6467" w:type="dxa"/>
            <w:tcBorders>
              <w:top w:val="single" w:color="000000" w:sz="10" w:space="0"/>
              <w:right w:val="single" w:color="000000" w:sz="10" w:space="0"/>
            </w:tcBorders>
            <w:vAlign w:val="top"/>
          </w:tcPr>
          <w:p w14:paraId="3482E233">
            <w:pPr>
              <w:keepNext w:val="0"/>
              <w:keepLines w:val="0"/>
              <w:pageBreakBefore w:val="0"/>
              <w:widowControl/>
              <w:kinsoku w:val="0"/>
              <w:wordWrap/>
              <w:overflowPunct/>
              <w:topLinePunct w:val="0"/>
              <w:autoSpaceDE w:val="0"/>
              <w:autoSpaceDN w:val="0"/>
              <w:bidi w:val="0"/>
              <w:adjustRightInd w:val="0"/>
              <w:snapToGrid w:val="0"/>
              <w:spacing w:before="144"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8"/>
                <w:sz w:val="20"/>
                <w:szCs w:val="20"/>
              </w:rPr>
              <w:t>温州市市政工程建设开发有限公司</w:t>
            </w:r>
          </w:p>
        </w:tc>
      </w:tr>
      <w:tr w14:paraId="7D765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bottom w:val="nil"/>
            </w:tcBorders>
            <w:vAlign w:val="top"/>
          </w:tcPr>
          <w:p w14:paraId="34DB4BD1">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840" w:type="dxa"/>
            <w:vAlign w:val="top"/>
          </w:tcPr>
          <w:p w14:paraId="5ED9ED0D">
            <w:pPr>
              <w:keepNext w:val="0"/>
              <w:keepLines w:val="0"/>
              <w:pageBreakBefore w:val="0"/>
              <w:widowControl/>
              <w:kinsoku w:val="0"/>
              <w:wordWrap/>
              <w:overflowPunct/>
              <w:topLinePunct w:val="0"/>
              <w:autoSpaceDE w:val="0"/>
              <w:autoSpaceDN w:val="0"/>
              <w:bidi w:val="0"/>
              <w:adjustRightInd w:val="0"/>
              <w:snapToGrid w:val="0"/>
              <w:spacing w:before="142"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467" w:type="dxa"/>
            <w:tcBorders>
              <w:right w:val="single" w:color="000000" w:sz="10" w:space="0"/>
            </w:tcBorders>
            <w:vAlign w:val="top"/>
          </w:tcPr>
          <w:p w14:paraId="56649FF8">
            <w:pPr>
              <w:keepNext w:val="0"/>
              <w:keepLines w:val="0"/>
              <w:pageBreakBefore w:val="0"/>
              <w:widowControl/>
              <w:kinsoku w:val="0"/>
              <w:wordWrap/>
              <w:overflowPunct/>
              <w:topLinePunct w:val="0"/>
              <w:autoSpaceDE w:val="0"/>
              <w:autoSpaceDN w:val="0"/>
              <w:bidi w:val="0"/>
              <w:adjustRightInd w:val="0"/>
              <w:snapToGrid w:val="0"/>
              <w:spacing w:before="143"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一般纳税人</w:t>
            </w:r>
          </w:p>
        </w:tc>
      </w:tr>
      <w:tr w14:paraId="22F57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14:paraId="4652B88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840" w:type="dxa"/>
            <w:vAlign w:val="top"/>
          </w:tcPr>
          <w:p w14:paraId="1A9AC962">
            <w:pPr>
              <w:keepNext w:val="0"/>
              <w:keepLines w:val="0"/>
              <w:pageBreakBefore w:val="0"/>
              <w:widowControl/>
              <w:kinsoku w:val="0"/>
              <w:wordWrap/>
              <w:overflowPunct/>
              <w:topLinePunct w:val="0"/>
              <w:autoSpaceDE w:val="0"/>
              <w:autoSpaceDN w:val="0"/>
              <w:bidi w:val="0"/>
              <w:adjustRightInd w:val="0"/>
              <w:snapToGrid w:val="0"/>
              <w:spacing w:before="145"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467" w:type="dxa"/>
            <w:tcBorders>
              <w:right w:val="single" w:color="000000" w:sz="10" w:space="0"/>
            </w:tcBorders>
            <w:vAlign w:val="top"/>
          </w:tcPr>
          <w:p w14:paraId="6074A320">
            <w:pPr>
              <w:keepNext w:val="0"/>
              <w:keepLines w:val="0"/>
              <w:pageBreakBefore w:val="0"/>
              <w:widowControl/>
              <w:kinsoku w:val="0"/>
              <w:wordWrap/>
              <w:overflowPunct/>
              <w:topLinePunct w:val="0"/>
              <w:autoSpaceDE w:val="0"/>
              <w:autoSpaceDN w:val="0"/>
              <w:bidi w:val="0"/>
              <w:adjustRightInd w:val="0"/>
              <w:snapToGrid w:val="0"/>
              <w:spacing w:before="177"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4"/>
                <w:sz w:val="20"/>
                <w:szCs w:val="20"/>
              </w:rPr>
              <w:t>91330300470531770R</w:t>
            </w:r>
          </w:p>
        </w:tc>
      </w:tr>
      <w:tr w14:paraId="63116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bottom w:val="nil"/>
            </w:tcBorders>
            <w:vAlign w:val="top"/>
          </w:tcPr>
          <w:p w14:paraId="2C7B682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840" w:type="dxa"/>
            <w:vAlign w:val="top"/>
          </w:tcPr>
          <w:p w14:paraId="71A5B76F">
            <w:pPr>
              <w:keepNext w:val="0"/>
              <w:keepLines w:val="0"/>
              <w:pageBreakBefore w:val="0"/>
              <w:widowControl/>
              <w:kinsoku w:val="0"/>
              <w:wordWrap/>
              <w:overflowPunct/>
              <w:topLinePunct w:val="0"/>
              <w:autoSpaceDE w:val="0"/>
              <w:autoSpaceDN w:val="0"/>
              <w:bidi w:val="0"/>
              <w:adjustRightInd w:val="0"/>
              <w:snapToGrid w:val="0"/>
              <w:spacing w:before="148" w:line="300" w:lineRule="auto"/>
              <w:ind w:left="0" w:right="0"/>
              <w:jc w:val="center"/>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9"/>
                <w:sz w:val="20"/>
                <w:szCs w:val="20"/>
              </w:rPr>
              <w:t xml:space="preserve"> </w:t>
            </w:r>
            <w:r>
              <w:rPr>
                <w:rFonts w:ascii="宋体" w:hAnsi="宋体" w:eastAsia="宋体" w:cs="宋体"/>
                <w:spacing w:val="-9"/>
                <w:sz w:val="20"/>
                <w:szCs w:val="20"/>
              </w:rPr>
              <w:t>址</w:t>
            </w:r>
            <w:r>
              <w:rPr>
                <w:rFonts w:ascii="宋体" w:hAnsi="宋体" w:eastAsia="宋体" w:cs="宋体"/>
                <w:spacing w:val="-78"/>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4"/>
                <w:sz w:val="20"/>
                <w:szCs w:val="20"/>
              </w:rPr>
              <w:t xml:space="preserve"> </w:t>
            </w:r>
            <w:r>
              <w:rPr>
                <w:rFonts w:ascii="宋体" w:hAnsi="宋体" w:eastAsia="宋体" w:cs="宋体"/>
                <w:spacing w:val="-9"/>
                <w:sz w:val="20"/>
                <w:szCs w:val="20"/>
              </w:rPr>
              <w:t>话</w:t>
            </w:r>
          </w:p>
        </w:tc>
        <w:tc>
          <w:tcPr>
            <w:tcW w:w="6467" w:type="dxa"/>
            <w:tcBorders>
              <w:right w:val="single" w:color="000000" w:sz="10" w:space="0"/>
            </w:tcBorders>
            <w:vAlign w:val="top"/>
          </w:tcPr>
          <w:p w14:paraId="6A1686FE">
            <w:pPr>
              <w:keepNext w:val="0"/>
              <w:keepLines w:val="0"/>
              <w:pageBreakBefore w:val="0"/>
              <w:widowControl/>
              <w:kinsoku w:val="0"/>
              <w:wordWrap/>
              <w:overflowPunct/>
              <w:topLinePunct w:val="0"/>
              <w:autoSpaceDE w:val="0"/>
              <w:autoSpaceDN w:val="0"/>
              <w:bidi w:val="0"/>
              <w:adjustRightInd w:val="0"/>
              <w:snapToGrid w:val="0"/>
              <w:spacing w:before="148"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5"/>
                <w:sz w:val="20"/>
                <w:szCs w:val="20"/>
              </w:rPr>
              <w:t>浙江省温州市鹿城区锦绣路19号宏嘉大厦1、2幢301室 0577-88313905</w:t>
            </w:r>
          </w:p>
        </w:tc>
      </w:tr>
      <w:tr w14:paraId="77703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53" w:type="dxa"/>
            <w:vMerge w:val="continue"/>
            <w:tcBorders>
              <w:top w:val="nil"/>
              <w:left w:val="single" w:color="000000" w:sz="10" w:space="0"/>
            </w:tcBorders>
            <w:vAlign w:val="top"/>
          </w:tcPr>
          <w:p w14:paraId="69A65164">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840" w:type="dxa"/>
            <w:vAlign w:val="top"/>
          </w:tcPr>
          <w:p w14:paraId="293DCF96">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467" w:type="dxa"/>
            <w:tcBorders>
              <w:right w:val="single" w:color="000000" w:sz="10" w:space="0"/>
            </w:tcBorders>
            <w:vAlign w:val="top"/>
          </w:tcPr>
          <w:p w14:paraId="11B9E40F">
            <w:pPr>
              <w:keepNext w:val="0"/>
              <w:keepLines w:val="0"/>
              <w:pageBreakBefore w:val="0"/>
              <w:widowControl/>
              <w:kinsoku w:val="0"/>
              <w:wordWrap/>
              <w:overflowPunct/>
              <w:topLinePunct w:val="0"/>
              <w:autoSpaceDE w:val="0"/>
              <w:autoSpaceDN w:val="0"/>
              <w:bidi w:val="0"/>
              <w:adjustRightInd w:val="0"/>
              <w:snapToGrid w:val="0"/>
              <w:spacing w:before="152" w:line="300" w:lineRule="auto"/>
              <w:ind w:left="0" w:right="0"/>
              <w:jc w:val="center"/>
              <w:textAlignment w:val="baseline"/>
              <w:rPr>
                <w:rFonts w:ascii="宋体" w:hAnsi="宋体" w:eastAsia="宋体" w:cs="宋体"/>
                <w:sz w:val="20"/>
                <w:szCs w:val="20"/>
              </w:rPr>
            </w:pPr>
            <w:r>
              <w:rPr>
                <w:rFonts w:hint="eastAsia" w:ascii="宋体" w:hAnsi="宋体" w:eastAsia="宋体" w:cs="宋体"/>
                <w:spacing w:val="6"/>
                <w:sz w:val="20"/>
                <w:szCs w:val="20"/>
              </w:rPr>
              <w:t>中国建设银行温州分行 33001623535050011933</w:t>
            </w:r>
          </w:p>
        </w:tc>
      </w:tr>
      <w:tr w14:paraId="3AB92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53" w:type="dxa"/>
            <w:vMerge w:val="restart"/>
            <w:tcBorders>
              <w:left w:val="single" w:color="000000" w:sz="10" w:space="0"/>
              <w:bottom w:val="nil"/>
            </w:tcBorders>
            <w:vAlign w:val="top"/>
          </w:tcPr>
          <w:p w14:paraId="4B659FD6">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52E8A1CC">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68302C48">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p w14:paraId="40B0FE48">
            <w:pPr>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center"/>
              <w:textAlignment w:val="baseline"/>
              <w:rPr>
                <w:rFonts w:ascii="宋体" w:hAnsi="宋体" w:eastAsia="宋体" w:cs="宋体"/>
                <w:sz w:val="20"/>
                <w:szCs w:val="20"/>
              </w:rPr>
            </w:pPr>
            <w:r>
              <w:rPr>
                <w:rFonts w:ascii="宋体" w:hAnsi="宋体" w:eastAsia="宋体" w:cs="宋体"/>
                <w:b/>
                <w:bCs/>
                <w:spacing w:val="-7"/>
                <w:sz w:val="20"/>
                <w:szCs w:val="20"/>
              </w:rPr>
              <w:t>乙方</w:t>
            </w:r>
          </w:p>
        </w:tc>
        <w:tc>
          <w:tcPr>
            <w:tcW w:w="1840" w:type="dxa"/>
            <w:vAlign w:val="top"/>
          </w:tcPr>
          <w:p w14:paraId="70227B2E">
            <w:pPr>
              <w:keepNext w:val="0"/>
              <w:keepLines w:val="0"/>
              <w:pageBreakBefore w:val="0"/>
              <w:widowControl/>
              <w:kinsoku w:val="0"/>
              <w:wordWrap/>
              <w:overflowPunct/>
              <w:topLinePunct w:val="0"/>
              <w:autoSpaceDE w:val="0"/>
              <w:autoSpaceDN w:val="0"/>
              <w:bidi w:val="0"/>
              <w:adjustRightInd w:val="0"/>
              <w:snapToGrid w:val="0"/>
              <w:spacing w:before="174" w:line="300" w:lineRule="auto"/>
              <w:ind w:left="0" w:right="0"/>
              <w:jc w:val="center"/>
              <w:textAlignment w:val="baseline"/>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p>
        </w:tc>
        <w:tc>
          <w:tcPr>
            <w:tcW w:w="6467" w:type="dxa"/>
            <w:tcBorders>
              <w:right w:val="single" w:color="000000" w:sz="10" w:space="0"/>
            </w:tcBorders>
            <w:vAlign w:val="top"/>
          </w:tcPr>
          <w:p w14:paraId="673E2D36">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5807E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14:paraId="43AEE5E5">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840" w:type="dxa"/>
            <w:vAlign w:val="top"/>
          </w:tcPr>
          <w:p w14:paraId="4796B14D">
            <w:pPr>
              <w:keepNext w:val="0"/>
              <w:keepLines w:val="0"/>
              <w:pageBreakBefore w:val="0"/>
              <w:widowControl/>
              <w:kinsoku w:val="0"/>
              <w:wordWrap/>
              <w:overflowPunct/>
              <w:topLinePunct w:val="0"/>
              <w:autoSpaceDE w:val="0"/>
              <w:autoSpaceDN w:val="0"/>
              <w:bidi w:val="0"/>
              <w:adjustRightInd w:val="0"/>
              <w:snapToGrid w:val="0"/>
              <w:spacing w:before="157"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纳税人身份</w:t>
            </w:r>
          </w:p>
        </w:tc>
        <w:tc>
          <w:tcPr>
            <w:tcW w:w="6467" w:type="dxa"/>
            <w:tcBorders>
              <w:right w:val="single" w:color="000000" w:sz="10" w:space="0"/>
            </w:tcBorders>
            <w:vAlign w:val="top"/>
          </w:tcPr>
          <w:p w14:paraId="5D7B8E48">
            <w:pPr>
              <w:keepNext w:val="0"/>
              <w:keepLines w:val="0"/>
              <w:pageBreakBefore w:val="0"/>
              <w:widowControl/>
              <w:kinsoku w:val="0"/>
              <w:wordWrap/>
              <w:overflowPunct/>
              <w:topLinePunct w:val="0"/>
              <w:autoSpaceDE w:val="0"/>
              <w:autoSpaceDN w:val="0"/>
              <w:bidi w:val="0"/>
              <w:adjustRightInd w:val="0"/>
              <w:snapToGrid w:val="0"/>
              <w:spacing w:before="157" w:line="300" w:lineRule="auto"/>
              <w:ind w:left="0" w:right="0"/>
              <w:jc w:val="center"/>
              <w:textAlignment w:val="baseline"/>
              <w:rPr>
                <w:rFonts w:ascii="宋体" w:hAnsi="宋体" w:eastAsia="宋体" w:cs="宋体"/>
                <w:sz w:val="20"/>
                <w:szCs w:val="20"/>
              </w:rPr>
            </w:pPr>
            <w:r>
              <w:rPr>
                <w:rFonts w:hint="eastAsia" w:ascii="MS UI Gothic" w:hAnsi="MS UI Gothic" w:eastAsia="宋体" w:cs="MS UI Gothic"/>
                <w:spacing w:val="7"/>
                <w:sz w:val="20"/>
                <w:szCs w:val="20"/>
                <w:lang w:eastAsia="zh-CN"/>
              </w:rPr>
              <w:t>□</w:t>
            </w:r>
            <w:r>
              <w:rPr>
                <w:rFonts w:ascii="宋体" w:hAnsi="宋体" w:eastAsia="宋体" w:cs="宋体"/>
                <w:spacing w:val="7"/>
                <w:sz w:val="20"/>
                <w:szCs w:val="20"/>
              </w:rPr>
              <w:t>一般纳税人    □小规模纳税人（请勾选）</w:t>
            </w:r>
          </w:p>
        </w:tc>
      </w:tr>
      <w:tr w14:paraId="2541E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14:paraId="6599092C">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840" w:type="dxa"/>
            <w:vAlign w:val="top"/>
          </w:tcPr>
          <w:p w14:paraId="5DE47138">
            <w:pPr>
              <w:keepNext w:val="0"/>
              <w:keepLines w:val="0"/>
              <w:pageBreakBefore w:val="0"/>
              <w:widowControl/>
              <w:kinsoku w:val="0"/>
              <w:wordWrap/>
              <w:overflowPunct/>
              <w:topLinePunct w:val="0"/>
              <w:autoSpaceDE w:val="0"/>
              <w:autoSpaceDN w:val="0"/>
              <w:bidi w:val="0"/>
              <w:adjustRightInd w:val="0"/>
              <w:snapToGrid w:val="0"/>
              <w:spacing w:before="160" w:line="300" w:lineRule="auto"/>
              <w:ind w:left="0" w:right="0"/>
              <w:jc w:val="center"/>
              <w:textAlignment w:val="baseline"/>
              <w:rPr>
                <w:rFonts w:ascii="宋体" w:hAnsi="宋体" w:eastAsia="宋体" w:cs="宋体"/>
                <w:sz w:val="20"/>
                <w:szCs w:val="20"/>
              </w:rPr>
            </w:pPr>
            <w:r>
              <w:rPr>
                <w:rFonts w:ascii="宋体" w:hAnsi="宋体" w:eastAsia="宋体" w:cs="宋体"/>
                <w:spacing w:val="7"/>
                <w:sz w:val="20"/>
                <w:szCs w:val="20"/>
              </w:rPr>
              <w:t>纳税人识别号</w:t>
            </w:r>
          </w:p>
        </w:tc>
        <w:tc>
          <w:tcPr>
            <w:tcW w:w="6467" w:type="dxa"/>
            <w:tcBorders>
              <w:right w:val="single" w:color="000000" w:sz="10" w:space="0"/>
            </w:tcBorders>
            <w:vAlign w:val="top"/>
          </w:tcPr>
          <w:p w14:paraId="49352BBB">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64A4C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53" w:type="dxa"/>
            <w:vMerge w:val="continue"/>
            <w:tcBorders>
              <w:top w:val="nil"/>
              <w:left w:val="single" w:color="000000" w:sz="10" w:space="0"/>
              <w:bottom w:val="nil"/>
            </w:tcBorders>
            <w:vAlign w:val="top"/>
          </w:tcPr>
          <w:p w14:paraId="0666EA64">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840" w:type="dxa"/>
            <w:vAlign w:val="top"/>
          </w:tcPr>
          <w:p w14:paraId="31A617CF">
            <w:pPr>
              <w:keepNext w:val="0"/>
              <w:keepLines w:val="0"/>
              <w:pageBreakBefore w:val="0"/>
              <w:widowControl/>
              <w:kinsoku w:val="0"/>
              <w:wordWrap/>
              <w:overflowPunct/>
              <w:topLinePunct w:val="0"/>
              <w:autoSpaceDE w:val="0"/>
              <w:autoSpaceDN w:val="0"/>
              <w:bidi w:val="0"/>
              <w:adjustRightInd w:val="0"/>
              <w:snapToGrid w:val="0"/>
              <w:spacing w:before="160" w:line="300" w:lineRule="auto"/>
              <w:ind w:left="0" w:right="0"/>
              <w:jc w:val="center"/>
              <w:textAlignment w:val="baseline"/>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19"/>
                <w:sz w:val="20"/>
                <w:szCs w:val="20"/>
              </w:rPr>
              <w:t xml:space="preserve"> </w:t>
            </w:r>
            <w:r>
              <w:rPr>
                <w:rFonts w:ascii="宋体" w:hAnsi="宋体" w:eastAsia="宋体" w:cs="宋体"/>
                <w:spacing w:val="-9"/>
                <w:sz w:val="20"/>
                <w:szCs w:val="20"/>
              </w:rPr>
              <w:t>址</w:t>
            </w:r>
            <w:r>
              <w:rPr>
                <w:rFonts w:ascii="宋体" w:hAnsi="宋体" w:eastAsia="宋体" w:cs="宋体"/>
                <w:spacing w:val="-78"/>
                <w:sz w:val="20"/>
                <w:szCs w:val="20"/>
              </w:rPr>
              <w:t xml:space="preserve"> </w:t>
            </w:r>
            <w:r>
              <w:rPr>
                <w:rFonts w:ascii="宋体" w:hAnsi="宋体" w:eastAsia="宋体" w:cs="宋体"/>
                <w:spacing w:val="-9"/>
                <w:sz w:val="20"/>
                <w:szCs w:val="20"/>
              </w:rPr>
              <w:t>、</w:t>
            </w:r>
            <w:r>
              <w:rPr>
                <w:rFonts w:ascii="宋体" w:hAnsi="宋体" w:eastAsia="宋体" w:cs="宋体"/>
                <w:spacing w:val="-59"/>
                <w:sz w:val="20"/>
                <w:szCs w:val="20"/>
              </w:rPr>
              <w:t xml:space="preserve"> </w:t>
            </w:r>
            <w:r>
              <w:rPr>
                <w:rFonts w:ascii="宋体" w:hAnsi="宋体" w:eastAsia="宋体" w:cs="宋体"/>
                <w:spacing w:val="-9"/>
                <w:sz w:val="20"/>
                <w:szCs w:val="20"/>
              </w:rPr>
              <w:t>电</w:t>
            </w:r>
            <w:r>
              <w:rPr>
                <w:rFonts w:ascii="宋体" w:hAnsi="宋体" w:eastAsia="宋体" w:cs="宋体"/>
                <w:spacing w:val="14"/>
                <w:sz w:val="20"/>
                <w:szCs w:val="20"/>
              </w:rPr>
              <w:t xml:space="preserve"> </w:t>
            </w:r>
            <w:r>
              <w:rPr>
                <w:rFonts w:ascii="宋体" w:hAnsi="宋体" w:eastAsia="宋体" w:cs="宋体"/>
                <w:spacing w:val="-9"/>
                <w:sz w:val="20"/>
                <w:szCs w:val="20"/>
              </w:rPr>
              <w:t>话</w:t>
            </w:r>
          </w:p>
        </w:tc>
        <w:tc>
          <w:tcPr>
            <w:tcW w:w="6467" w:type="dxa"/>
            <w:tcBorders>
              <w:right w:val="single" w:color="000000" w:sz="10" w:space="0"/>
            </w:tcBorders>
            <w:vAlign w:val="top"/>
          </w:tcPr>
          <w:p w14:paraId="4D7C49CF">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r w14:paraId="555B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753" w:type="dxa"/>
            <w:vMerge w:val="continue"/>
            <w:tcBorders>
              <w:top w:val="nil"/>
              <w:left w:val="single" w:color="000000" w:sz="10" w:space="0"/>
              <w:bottom w:val="single" w:color="000000" w:sz="10" w:space="0"/>
            </w:tcBorders>
            <w:vAlign w:val="top"/>
          </w:tcPr>
          <w:p w14:paraId="5DF09514">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c>
          <w:tcPr>
            <w:tcW w:w="1840" w:type="dxa"/>
            <w:tcBorders>
              <w:bottom w:val="single" w:color="000000" w:sz="10" w:space="0"/>
            </w:tcBorders>
            <w:vAlign w:val="top"/>
          </w:tcPr>
          <w:p w14:paraId="4D333508">
            <w:pPr>
              <w:keepNext w:val="0"/>
              <w:keepLines w:val="0"/>
              <w:pageBreakBefore w:val="0"/>
              <w:widowControl/>
              <w:kinsoku w:val="0"/>
              <w:wordWrap/>
              <w:overflowPunct/>
              <w:topLinePunct w:val="0"/>
              <w:autoSpaceDE w:val="0"/>
              <w:autoSpaceDN w:val="0"/>
              <w:bidi w:val="0"/>
              <w:adjustRightInd w:val="0"/>
              <w:snapToGrid w:val="0"/>
              <w:spacing w:before="163" w:line="300" w:lineRule="auto"/>
              <w:ind w:left="0" w:right="0"/>
              <w:jc w:val="center"/>
              <w:textAlignment w:val="baseline"/>
              <w:rPr>
                <w:rFonts w:ascii="宋体" w:hAnsi="宋体" w:eastAsia="宋体" w:cs="宋体"/>
                <w:sz w:val="20"/>
                <w:szCs w:val="20"/>
              </w:rPr>
            </w:pPr>
            <w:r>
              <w:rPr>
                <w:rFonts w:ascii="宋体" w:hAnsi="宋体" w:eastAsia="宋体" w:cs="宋体"/>
                <w:spacing w:val="8"/>
                <w:sz w:val="20"/>
                <w:szCs w:val="20"/>
              </w:rPr>
              <w:t>开户行及账号</w:t>
            </w:r>
          </w:p>
        </w:tc>
        <w:tc>
          <w:tcPr>
            <w:tcW w:w="6467" w:type="dxa"/>
            <w:tcBorders>
              <w:bottom w:val="single" w:color="000000" w:sz="10" w:space="0"/>
              <w:right w:val="single" w:color="000000" w:sz="10" w:space="0"/>
            </w:tcBorders>
            <w:vAlign w:val="top"/>
          </w:tcPr>
          <w:p w14:paraId="3B116535">
            <w:pPr>
              <w:pStyle w:val="30"/>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center"/>
              <w:textAlignment w:val="baseline"/>
            </w:pPr>
          </w:p>
        </w:tc>
      </w:tr>
    </w:tbl>
    <w:p w14:paraId="4E8F5738">
      <w:pPr>
        <w:pStyle w:val="7"/>
        <w:keepNext w:val="0"/>
        <w:keepLines w:val="0"/>
        <w:pageBreakBefore w:val="0"/>
        <w:widowControl/>
        <w:kinsoku w:val="0"/>
        <w:wordWrap/>
        <w:overflowPunct/>
        <w:topLinePunct w:val="0"/>
        <w:autoSpaceDE w:val="0"/>
        <w:autoSpaceDN w:val="0"/>
        <w:bidi w:val="0"/>
        <w:adjustRightInd w:val="0"/>
        <w:snapToGrid w:val="0"/>
        <w:spacing w:before="107" w:line="300" w:lineRule="auto"/>
        <w:ind w:right="0" w:firstLine="452" w:firstLineChars="200"/>
        <w:jc w:val="both"/>
        <w:textAlignment w:val="baseline"/>
        <w:rPr>
          <w:rFonts w:hint="eastAsia"/>
          <w:color w:val="auto"/>
          <w:lang w:eastAsia="zh-CN"/>
        </w:rPr>
      </w:pPr>
      <w:r>
        <w:rPr>
          <w:rFonts w:hint="eastAsia"/>
          <w:color w:val="auto"/>
          <w:spacing w:val="8"/>
          <w:lang w:eastAsia="zh-CN"/>
        </w:rPr>
        <w:t>上述联系方式系各自指定接收各类文书、通知、资料等信息的真实、合法、有效的联系方式，且适用于纠纷发生时相关文件和司法阶段（包括但不限于一审、二审、执行、仲裁等）相关法律文书的送达。一方依据对方指定联系方式发送信息，即视为送达义务已履行。</w:t>
      </w:r>
      <w:r>
        <w:rPr>
          <w:color w:val="auto"/>
          <w:spacing w:val="8"/>
          <w:lang w:eastAsia="zh-CN"/>
        </w:rPr>
        <w:t>任何一方如上述信息发生变更，应提前十日以书面方式通知另一</w:t>
      </w:r>
      <w:r>
        <w:rPr>
          <w:color w:val="auto"/>
          <w:spacing w:val="7"/>
          <w:lang w:eastAsia="zh-CN"/>
        </w:rPr>
        <w:t>方。如一方未按本合同规定通知而</w:t>
      </w:r>
      <w:r>
        <w:rPr>
          <w:color w:val="auto"/>
          <w:spacing w:val="8"/>
          <w:lang w:eastAsia="zh-CN"/>
        </w:rPr>
        <w:t>使另一方遭受损失的，应予以赔偿。</w:t>
      </w:r>
    </w:p>
    <w:p w14:paraId="031D55C4">
      <w:pPr>
        <w:pStyle w:val="7"/>
        <w:keepNext w:val="0"/>
        <w:keepLines w:val="0"/>
        <w:pageBreakBefore w:val="0"/>
        <w:widowControl/>
        <w:kinsoku w:val="0"/>
        <w:wordWrap/>
        <w:overflowPunct/>
        <w:topLinePunct w:val="0"/>
        <w:autoSpaceDE w:val="0"/>
        <w:autoSpaceDN w:val="0"/>
        <w:bidi w:val="0"/>
        <w:adjustRightInd w:val="0"/>
        <w:snapToGrid w:val="0"/>
        <w:spacing w:before="108" w:line="300" w:lineRule="auto"/>
        <w:ind w:right="0" w:firstLine="448" w:firstLineChars="200"/>
        <w:jc w:val="both"/>
        <w:textAlignment w:val="baseline"/>
      </w:pPr>
      <w:r>
        <w:rPr>
          <w:spacing w:val="7"/>
        </w:rPr>
        <w:t>（5）本合同所涉应税行为计税方法（请勾选）</w:t>
      </w:r>
      <w:r>
        <w:rPr>
          <w:spacing w:val="18"/>
        </w:rPr>
        <w:t xml:space="preserve"> </w:t>
      </w:r>
      <w:r>
        <w:rPr>
          <w:rFonts w:hint="eastAsia" w:ascii="MS Gothic" w:hAnsi="MS Gothic" w:cs="MS Gothic"/>
          <w:spacing w:val="6"/>
          <w:lang w:eastAsia="zh-CN"/>
        </w:rPr>
        <w:t>□</w:t>
      </w:r>
      <w:r>
        <w:rPr>
          <w:spacing w:val="6"/>
        </w:rPr>
        <w:t>一般计税方法</w:t>
      </w:r>
      <w:r>
        <w:rPr>
          <w:spacing w:val="14"/>
        </w:rPr>
        <w:t xml:space="preserve">    </w:t>
      </w:r>
      <w:r>
        <w:rPr>
          <w:spacing w:val="6"/>
        </w:rPr>
        <w:t>□简易计税方法</w:t>
      </w:r>
    </w:p>
    <w:p w14:paraId="75706C69">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30"/>
        <w:jc w:val="both"/>
        <w:textAlignment w:val="baseline"/>
      </w:pPr>
      <w:r>
        <w:rPr>
          <w:spacing w:val="10"/>
        </w:rPr>
        <w:t>（6）</w:t>
      </w:r>
      <w:r>
        <w:rPr>
          <w:spacing w:val="-57"/>
        </w:rPr>
        <w:t xml:space="preserve"> </w:t>
      </w:r>
      <w:r>
        <w:rPr>
          <w:spacing w:val="10"/>
        </w:rPr>
        <w:t>乙方在向甲方请款时，应根据甲方确认的付款数额开</w:t>
      </w:r>
      <w:r>
        <w:rPr>
          <w:spacing w:val="9"/>
        </w:rPr>
        <w:t>具合法、有效、完整、准确的增值</w:t>
      </w:r>
      <w:r>
        <w:rPr>
          <w:spacing w:val="8"/>
        </w:rPr>
        <w:t>税（增值税税率</w:t>
      </w:r>
      <w:r>
        <w:rPr>
          <w:spacing w:val="-34"/>
        </w:rPr>
        <w:t xml:space="preserve"> </w:t>
      </w:r>
      <w:r>
        <w:rPr>
          <w:rFonts w:hint="eastAsia"/>
          <w:spacing w:val="-34"/>
          <w:u w:val="single"/>
          <w:lang w:val="en-US" w:eastAsia="zh-CN"/>
        </w:rPr>
        <w:t xml:space="preserve">        </w:t>
      </w:r>
      <w:r>
        <w:rPr>
          <w:spacing w:val="8"/>
        </w:rPr>
        <w:t>%</w:t>
      </w:r>
      <w:r>
        <w:rPr>
          <w:spacing w:val="-58"/>
        </w:rPr>
        <w:t>）（</w:t>
      </w:r>
      <w:r>
        <w:rPr>
          <w:spacing w:val="8"/>
        </w:rPr>
        <w:t>请勾选：</w:t>
      </w:r>
      <w:r>
        <w:rPr>
          <w:spacing w:val="-72"/>
        </w:rPr>
        <w:t xml:space="preserve"> </w:t>
      </w:r>
      <w:r>
        <w:rPr>
          <w:rFonts w:hint="eastAsia" w:ascii="MS Gothic" w:hAnsi="MS Gothic" w:cs="MS Gothic"/>
          <w:spacing w:val="8"/>
          <w:lang w:eastAsia="zh-CN"/>
        </w:rPr>
        <w:t>□</w:t>
      </w:r>
      <w:r>
        <w:rPr>
          <w:spacing w:val="8"/>
        </w:rPr>
        <w:t>专用   □普通</w:t>
      </w:r>
      <w:r>
        <w:rPr>
          <w:spacing w:val="7"/>
        </w:rPr>
        <w:t>）发票。</w:t>
      </w:r>
    </w:p>
    <w:p w14:paraId="1FD60CDE">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46" w:firstLineChars="200"/>
        <w:jc w:val="both"/>
        <w:textAlignment w:val="baseline"/>
        <w:outlineLvl w:val="3"/>
      </w:pPr>
      <w:r>
        <w:rPr>
          <w:rFonts w:hint="eastAsia"/>
          <w:b/>
          <w:bCs/>
          <w:spacing w:val="6"/>
          <w:lang w:val="en-US" w:eastAsia="zh-CN"/>
        </w:rPr>
        <w:t>第五条</w:t>
      </w:r>
      <w:r>
        <w:rPr>
          <w:b/>
          <w:bCs/>
          <w:spacing w:val="6"/>
        </w:rPr>
        <w:t>、双方责任</w:t>
      </w:r>
    </w:p>
    <w:p w14:paraId="7A07AFE9">
      <w:pPr>
        <w:pStyle w:val="7"/>
        <w:keepNext w:val="0"/>
        <w:keepLines w:val="0"/>
        <w:pageBreakBefore w:val="0"/>
        <w:widowControl w:val="0"/>
        <w:kinsoku w:val="0"/>
        <w:wordWrap/>
        <w:overflowPunct/>
        <w:topLinePunct w:val="0"/>
        <w:autoSpaceDE w:val="0"/>
        <w:autoSpaceDN w:val="0"/>
        <w:bidi w:val="0"/>
        <w:adjustRightInd w:val="0"/>
        <w:snapToGrid w:val="0"/>
        <w:spacing w:before="112" w:line="300" w:lineRule="auto"/>
        <w:ind w:left="0" w:right="0" w:firstLine="437"/>
        <w:jc w:val="both"/>
        <w:textAlignment w:val="baseline"/>
      </w:pPr>
      <w:r>
        <w:rPr>
          <w:spacing w:val="8"/>
        </w:rPr>
        <w:t>1.甲方负责提供现场所必需的电力、照明、水源</w:t>
      </w:r>
      <w:r>
        <w:rPr>
          <w:rFonts w:hint="eastAsia"/>
          <w:spacing w:val="8"/>
          <w:lang w:val="en-US" w:eastAsia="zh-CN"/>
        </w:rPr>
        <w:t>条件</w:t>
      </w:r>
      <w:r>
        <w:rPr>
          <w:spacing w:val="8"/>
        </w:rPr>
        <w:t>，负责施工现场保</w:t>
      </w:r>
      <w:r>
        <w:rPr>
          <w:spacing w:val="7"/>
        </w:rPr>
        <w:t>卫、安</w:t>
      </w:r>
      <w:r>
        <w:rPr>
          <w:spacing w:val="9"/>
        </w:rPr>
        <w:t>全和环卫工作，施工现场</w:t>
      </w:r>
      <w:r>
        <w:rPr>
          <w:rFonts w:hint="eastAsia"/>
          <w:spacing w:val="9"/>
          <w:lang w:val="en-US" w:eastAsia="zh-CN"/>
        </w:rPr>
        <w:t>的</w:t>
      </w:r>
      <w:r>
        <w:rPr>
          <w:spacing w:val="9"/>
        </w:rPr>
        <w:t>道路</w:t>
      </w:r>
      <w:r>
        <w:rPr>
          <w:rFonts w:hint="eastAsia"/>
          <w:spacing w:val="9"/>
          <w:lang w:val="en-US" w:eastAsia="zh-CN"/>
        </w:rPr>
        <w:t>应</w:t>
      </w:r>
      <w:r>
        <w:rPr>
          <w:spacing w:val="9"/>
        </w:rPr>
        <w:t>平整、畅通，为乙方车</w:t>
      </w:r>
      <w:r>
        <w:rPr>
          <w:spacing w:val="8"/>
        </w:rPr>
        <w:t>辆进出现场创造良好条件</w:t>
      </w:r>
      <w:r>
        <w:rPr>
          <w:spacing w:val="5"/>
        </w:rPr>
        <w:t>。</w:t>
      </w:r>
    </w:p>
    <w:p w14:paraId="72F6E490">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jc w:val="both"/>
        <w:textAlignment w:val="baseline"/>
        <w:rPr>
          <w:rFonts w:hint="eastAsia"/>
          <w:spacing w:val="8"/>
          <w:lang w:val="en-US" w:eastAsia="zh-CN"/>
        </w:rPr>
      </w:pPr>
      <w:r>
        <w:rPr>
          <w:spacing w:val="8"/>
        </w:rPr>
        <w:t>2.乙方收到甲方</w:t>
      </w:r>
      <w:r>
        <w:rPr>
          <w:rFonts w:hint="eastAsia"/>
          <w:spacing w:val="8"/>
          <w:lang w:val="en-US" w:eastAsia="zh-CN"/>
        </w:rPr>
        <w:t>通知</w:t>
      </w:r>
      <w:r>
        <w:rPr>
          <w:spacing w:val="8"/>
        </w:rPr>
        <w:t>后，应按通知要求及时供应质量合格的</w:t>
      </w:r>
      <w:r>
        <w:rPr>
          <w:rFonts w:hint="eastAsia"/>
          <w:spacing w:val="8"/>
          <w:lang w:eastAsia="zh-CN"/>
        </w:rPr>
        <w:t>混凝土</w:t>
      </w:r>
      <w:r>
        <w:rPr>
          <w:spacing w:val="8"/>
        </w:rPr>
        <w:t>，并负</w:t>
      </w:r>
      <w:r>
        <w:rPr>
          <w:spacing w:val="9"/>
        </w:rPr>
        <w:t>责货物从工厂（或仓库）至工地的装货、发货、运输、过磅、进场、</w:t>
      </w:r>
      <w:r>
        <w:rPr>
          <w:spacing w:val="8"/>
        </w:rPr>
        <w:t>卸车等环节。乙方应负责货物</w:t>
      </w:r>
      <w:r>
        <w:rPr>
          <w:spacing w:val="9"/>
        </w:rPr>
        <w:t>运抵指定地点并经甲方检验确认收受前货物毁损灭</w:t>
      </w:r>
      <w:r>
        <w:rPr>
          <w:spacing w:val="8"/>
        </w:rPr>
        <w:t>失的风险。如乙方</w:t>
      </w:r>
      <w:r>
        <w:rPr>
          <w:rFonts w:hint="eastAsia"/>
          <w:spacing w:val="8"/>
          <w:lang w:val="en-US" w:eastAsia="zh-CN"/>
        </w:rPr>
        <w:t>未</w:t>
      </w:r>
      <w:r>
        <w:rPr>
          <w:spacing w:val="8"/>
        </w:rPr>
        <w:t>按甲方需求计划及时提供符合甲方数量、品种、规格、质量要求的</w:t>
      </w:r>
      <w:r>
        <w:rPr>
          <w:rFonts w:hint="eastAsia"/>
          <w:spacing w:val="8"/>
          <w:lang w:eastAsia="zh-CN"/>
        </w:rPr>
        <w:t>混凝土，</w:t>
      </w:r>
      <w:r>
        <w:rPr>
          <w:spacing w:val="8"/>
        </w:rPr>
        <w:t>甲方有权解除合同并追究乙方的相关责任。</w:t>
      </w:r>
      <w:r>
        <w:rPr>
          <w:rFonts w:hint="eastAsia"/>
          <w:spacing w:val="8"/>
          <w:lang w:val="en-US" w:eastAsia="zh-CN"/>
        </w:rPr>
        <w:t xml:space="preserve">                                                    </w:t>
      </w:r>
    </w:p>
    <w:p w14:paraId="4DF53BE5">
      <w:pPr>
        <w:pStyle w:val="7"/>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20"/>
        <w:jc w:val="both"/>
        <w:textAlignment w:val="baseline"/>
        <w:rPr>
          <w:spacing w:val="4"/>
          <w:highlight w:val="none"/>
        </w:rPr>
      </w:pPr>
      <w:r>
        <w:rPr>
          <w:spacing w:val="8"/>
          <w:highlight w:val="none"/>
        </w:rPr>
        <w:t>3.乙方负责</w:t>
      </w:r>
      <w:r>
        <w:rPr>
          <w:rFonts w:hint="eastAsia"/>
          <w:spacing w:val="8"/>
          <w:highlight w:val="none"/>
          <w:lang w:eastAsia="zh-CN"/>
        </w:rPr>
        <w:t>混凝土</w:t>
      </w:r>
      <w:r>
        <w:rPr>
          <w:spacing w:val="8"/>
          <w:highlight w:val="none"/>
        </w:rPr>
        <w:t>的强度等级设计试验，乙方生产</w:t>
      </w:r>
      <w:r>
        <w:rPr>
          <w:rFonts w:hint="eastAsia"/>
          <w:spacing w:val="8"/>
          <w:highlight w:val="none"/>
          <w:lang w:eastAsia="zh-CN"/>
        </w:rPr>
        <w:t>混凝土</w:t>
      </w:r>
      <w:r>
        <w:rPr>
          <w:spacing w:val="8"/>
          <w:highlight w:val="none"/>
        </w:rPr>
        <w:t>所有原料的检验报告、合格证及配合</w:t>
      </w:r>
      <w:r>
        <w:rPr>
          <w:spacing w:val="10"/>
          <w:highlight w:val="none"/>
        </w:rPr>
        <w:t>比等资料，应随车送到施工现场交付甲方，其余相关</w:t>
      </w:r>
      <w:r>
        <w:rPr>
          <w:rFonts w:hint="eastAsia"/>
          <w:color w:val="auto"/>
          <w:spacing w:val="10"/>
          <w:highlight w:val="none"/>
          <w:lang w:val="en-US" w:eastAsia="zh-CN"/>
        </w:rPr>
        <w:t>资料</w:t>
      </w:r>
      <w:r>
        <w:rPr>
          <w:spacing w:val="10"/>
          <w:highlight w:val="none"/>
        </w:rPr>
        <w:t>在全部混凝土浇筑完毕28天内移</w:t>
      </w:r>
      <w:r>
        <w:rPr>
          <w:spacing w:val="4"/>
          <w:highlight w:val="none"/>
        </w:rPr>
        <w:t>交甲方。</w:t>
      </w:r>
    </w:p>
    <w:p w14:paraId="5F590AF1">
      <w:pPr>
        <w:pStyle w:val="7"/>
        <w:keepNext w:val="0"/>
        <w:keepLines w:val="0"/>
        <w:pageBreakBefore w:val="0"/>
        <w:widowControl w:val="0"/>
        <w:kinsoku w:val="0"/>
        <w:wordWrap/>
        <w:overflowPunct/>
        <w:topLinePunct w:val="0"/>
        <w:autoSpaceDE w:val="0"/>
        <w:autoSpaceDN w:val="0"/>
        <w:bidi w:val="0"/>
        <w:adjustRightInd w:val="0"/>
        <w:snapToGrid w:val="0"/>
        <w:spacing w:line="300" w:lineRule="auto"/>
        <w:ind w:left="0" w:right="0" w:firstLine="420"/>
        <w:jc w:val="both"/>
        <w:textAlignment w:val="baseline"/>
      </w:pPr>
      <w:r>
        <w:rPr>
          <w:spacing w:val="8"/>
        </w:rPr>
        <w:t>4.乙方在运输过程中，应遵守当地政府有关部门的规定，特别是有关道路交通的规定，协调</w:t>
      </w:r>
      <w:r>
        <w:rPr>
          <w:rFonts w:hint="eastAsia"/>
          <w:color w:val="auto"/>
          <w:spacing w:val="8"/>
          <w:lang w:val="en-US" w:eastAsia="zh-CN"/>
        </w:rPr>
        <w:t>工</w:t>
      </w:r>
      <w:r>
        <w:rPr>
          <w:spacing w:val="9"/>
        </w:rPr>
        <w:t>地周边城管及交通事宜，同时遵守甲方现场车辆限制规定</w:t>
      </w:r>
      <w:r>
        <w:rPr>
          <w:spacing w:val="8"/>
        </w:rPr>
        <w:t>。如因乙方违反规定和要求而造成损失的</w:t>
      </w:r>
      <w:r>
        <w:rPr>
          <w:spacing w:val="2"/>
        </w:rPr>
        <w:t>由乙方承担。</w:t>
      </w:r>
    </w:p>
    <w:p w14:paraId="1FA310B2">
      <w:pPr>
        <w:pStyle w:val="7"/>
        <w:keepNext w:val="0"/>
        <w:keepLines w:val="0"/>
        <w:pageBreakBefore w:val="0"/>
        <w:widowControl/>
        <w:kinsoku w:val="0"/>
        <w:wordWrap/>
        <w:overflowPunct/>
        <w:topLinePunct w:val="0"/>
        <w:autoSpaceDE w:val="0"/>
        <w:autoSpaceDN w:val="0"/>
        <w:bidi w:val="0"/>
        <w:adjustRightInd w:val="0"/>
        <w:snapToGrid w:val="0"/>
        <w:spacing w:before="34" w:line="300" w:lineRule="auto"/>
        <w:ind w:left="0" w:right="0" w:firstLine="424"/>
        <w:jc w:val="both"/>
        <w:textAlignment w:val="baseline"/>
      </w:pPr>
      <w:r>
        <w:rPr>
          <w:spacing w:val="8"/>
        </w:rPr>
        <w:t>5.乙方必须要确保甲方在浇灌混凝土时能连续施工作业的操作规程，每次浇筑混凝土，乙方应</w:t>
      </w:r>
      <w:r>
        <w:rPr>
          <w:spacing w:val="9"/>
        </w:rPr>
        <w:t>保证及时送达。如乙方在同次浇筑中不能连续供应，造成</w:t>
      </w:r>
      <w:r>
        <w:rPr>
          <w:spacing w:val="8"/>
        </w:rPr>
        <w:t>甲方施工出现冷缝等现象，每发生一次，支付甲方3000元违约金，并承担因供货不及时造成甲方停工待料的损失，</w:t>
      </w:r>
      <w:r>
        <w:rPr>
          <w:spacing w:val="-57"/>
        </w:rPr>
        <w:t xml:space="preserve"> </w:t>
      </w:r>
      <w:r>
        <w:rPr>
          <w:spacing w:val="8"/>
        </w:rPr>
        <w:t>由此产生的成品质量问</w:t>
      </w:r>
      <w:r>
        <w:rPr>
          <w:spacing w:val="9"/>
        </w:rPr>
        <w:t>题，则由乙方承担全部责任与赔偿甲方经济损失；若乙方</w:t>
      </w:r>
      <w:r>
        <w:rPr>
          <w:spacing w:val="8"/>
        </w:rPr>
        <w:t>按要求出车，甲方</w:t>
      </w:r>
      <w:r>
        <w:rPr>
          <w:rFonts w:hint="eastAsia"/>
          <w:color w:val="auto"/>
          <w:spacing w:val="8"/>
          <w:lang w:val="en-US" w:eastAsia="zh-CN"/>
        </w:rPr>
        <w:t>自身施工原因</w:t>
      </w:r>
      <w:r>
        <w:rPr>
          <w:color w:val="auto"/>
          <w:spacing w:val="8"/>
        </w:rPr>
        <w:t>出</w:t>
      </w:r>
      <w:r>
        <w:rPr>
          <w:spacing w:val="8"/>
        </w:rPr>
        <w:t>现压车、待料时间超过</w:t>
      </w:r>
      <w:r>
        <w:rPr>
          <w:spacing w:val="-26"/>
        </w:rPr>
        <w:t xml:space="preserve"> </w:t>
      </w:r>
      <w:r>
        <w:rPr>
          <w:spacing w:val="8"/>
        </w:rPr>
        <w:t>60</w:t>
      </w:r>
      <w:r>
        <w:rPr>
          <w:spacing w:val="-36"/>
        </w:rPr>
        <w:t xml:space="preserve"> </w:t>
      </w:r>
      <w:r>
        <w:rPr>
          <w:spacing w:val="8"/>
        </w:rPr>
        <w:t>分钟，</w:t>
      </w:r>
      <w:r>
        <w:rPr>
          <w:rFonts w:hint="eastAsia"/>
          <w:color w:val="auto"/>
          <w:spacing w:val="8"/>
          <w:lang w:val="en-US" w:eastAsia="zh-CN"/>
        </w:rPr>
        <w:t>由此</w:t>
      </w:r>
      <w:r>
        <w:rPr>
          <w:spacing w:val="8"/>
        </w:rPr>
        <w:t>造成的混凝土性能及质量问题乙方概不负责。</w:t>
      </w:r>
    </w:p>
    <w:p w14:paraId="1A3FC9A7">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01"/>
        <w:jc w:val="both"/>
        <w:textAlignment w:val="baseline"/>
      </w:pPr>
      <w:r>
        <w:rPr>
          <w:spacing w:val="8"/>
        </w:rPr>
        <w:t>6.泵送润管砂浆等同该标号的混凝土计算，但不得用于工程结构中。如泵管堵塞、泵车故障等</w:t>
      </w:r>
      <w:r>
        <w:rPr>
          <w:spacing w:val="5"/>
        </w:rPr>
        <w:t>乙方原因造成的</w:t>
      </w:r>
      <w:r>
        <w:rPr>
          <w:rFonts w:hint="eastAsia"/>
          <w:spacing w:val="5"/>
          <w:lang w:eastAsia="zh-CN"/>
        </w:rPr>
        <w:t>混凝土</w:t>
      </w:r>
      <w:r>
        <w:rPr>
          <w:spacing w:val="5"/>
        </w:rPr>
        <w:t>损失，</w:t>
      </w:r>
      <w:r>
        <w:rPr>
          <w:spacing w:val="-41"/>
        </w:rPr>
        <w:t xml:space="preserve"> </w:t>
      </w:r>
      <w:r>
        <w:rPr>
          <w:spacing w:val="5"/>
        </w:rPr>
        <w:t>由乙方负责。</w:t>
      </w:r>
    </w:p>
    <w:p w14:paraId="7A32132A">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24"/>
        <w:jc w:val="both"/>
        <w:textAlignment w:val="baseline"/>
        <w:rPr>
          <w:rFonts w:hint="default" w:eastAsia="宋体"/>
          <w:color w:val="00B050"/>
          <w:highlight w:val="none"/>
          <w:lang w:val="en-US" w:eastAsia="zh-CN"/>
        </w:rPr>
      </w:pPr>
      <w:r>
        <w:rPr>
          <w:spacing w:val="8"/>
          <w:highlight w:val="none"/>
        </w:rPr>
        <w:t>7.每次工段最后的补方，</w:t>
      </w:r>
      <w:r>
        <w:rPr>
          <w:rFonts w:hint="eastAsia"/>
          <w:spacing w:val="8"/>
          <w:highlight w:val="none"/>
          <w:lang w:val="en-US" w:eastAsia="zh-CN"/>
        </w:rPr>
        <w:t>乙方按</w:t>
      </w:r>
      <w:r>
        <w:rPr>
          <w:spacing w:val="8"/>
          <w:highlight w:val="none"/>
        </w:rPr>
        <w:t>甲方施工员通知</w:t>
      </w:r>
      <w:r>
        <w:rPr>
          <w:rFonts w:hint="eastAsia"/>
          <w:spacing w:val="8"/>
          <w:highlight w:val="none"/>
          <w:lang w:val="en-US" w:eastAsia="zh-CN"/>
        </w:rPr>
        <w:t>的</w:t>
      </w:r>
      <w:r>
        <w:rPr>
          <w:spacing w:val="8"/>
          <w:highlight w:val="none"/>
        </w:rPr>
        <w:t>补方数量</w:t>
      </w:r>
      <w:r>
        <w:rPr>
          <w:rFonts w:hint="eastAsia"/>
          <w:spacing w:val="8"/>
          <w:highlight w:val="none"/>
          <w:lang w:val="en-US" w:eastAsia="zh-CN"/>
        </w:rPr>
        <w:t>进行补方</w:t>
      </w:r>
      <w:r>
        <w:rPr>
          <w:spacing w:val="8"/>
          <w:highlight w:val="none"/>
        </w:rPr>
        <w:t>，</w:t>
      </w:r>
      <w:r>
        <w:rPr>
          <w:rFonts w:hint="eastAsia"/>
          <w:spacing w:val="8"/>
          <w:highlight w:val="none"/>
          <w:lang w:val="en-US" w:eastAsia="zh-CN"/>
        </w:rPr>
        <w:t>甲方按实际补方用量结算。若罐装系固定方量，且乙方无其他工地可供配送多出的方量的情况下，甲方对乙方交付的超出甲方通知补方量的部分予以接收，双方按乙方交付的方量结算</w:t>
      </w:r>
      <w:r>
        <w:rPr>
          <w:spacing w:val="2"/>
          <w:highlight w:val="none"/>
        </w:rPr>
        <w:t>。</w:t>
      </w:r>
    </w:p>
    <w:p w14:paraId="587AC864">
      <w:pPr>
        <w:pStyle w:val="7"/>
        <w:keepNext w:val="0"/>
        <w:keepLines w:val="0"/>
        <w:pageBreakBefore w:val="0"/>
        <w:widowControl/>
        <w:kinsoku w:val="0"/>
        <w:wordWrap/>
        <w:overflowPunct/>
        <w:topLinePunct w:val="0"/>
        <w:autoSpaceDE w:val="0"/>
        <w:autoSpaceDN w:val="0"/>
        <w:bidi w:val="0"/>
        <w:adjustRightInd w:val="0"/>
        <w:snapToGrid w:val="0"/>
        <w:spacing w:before="29" w:line="300" w:lineRule="auto"/>
        <w:ind w:left="0" w:right="0" w:firstLine="421"/>
        <w:jc w:val="both"/>
        <w:textAlignment w:val="baseline"/>
      </w:pPr>
      <w:r>
        <w:rPr>
          <w:spacing w:val="8"/>
        </w:rPr>
        <w:t>8.甲方配合乙方铺设、拆除、清洗和现场保管输送管，铺设泵送管支架由甲方负责。搭拆、清</w:t>
      </w:r>
      <w:r>
        <w:rPr>
          <w:spacing w:val="9"/>
        </w:rPr>
        <w:t>洗输送管由乙方负责。泵送</w:t>
      </w:r>
      <w:r>
        <w:rPr>
          <w:spacing w:val="8"/>
        </w:rPr>
        <w:t>浇捣乙方应由专人进场管理、协调</w:t>
      </w:r>
      <w:r>
        <w:rPr>
          <w:rFonts w:hint="eastAsia"/>
          <w:spacing w:val="8"/>
          <w:lang w:val="en-US" w:eastAsia="zh-CN"/>
        </w:rPr>
        <w:t>混凝土</w:t>
      </w:r>
      <w:r>
        <w:rPr>
          <w:spacing w:val="8"/>
        </w:rPr>
        <w:t>运</w:t>
      </w:r>
      <w:r>
        <w:rPr>
          <w:spacing w:val="9"/>
        </w:rPr>
        <w:t>输车及泵车的管理、泵车操作、泵管搭设、施工过程中搭拆均由乙方专人负责；</w:t>
      </w:r>
    </w:p>
    <w:p w14:paraId="64C1EED2">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15"/>
        <w:jc w:val="both"/>
        <w:textAlignment w:val="baseline"/>
      </w:pPr>
      <w:r>
        <w:rPr>
          <w:spacing w:val="8"/>
        </w:rPr>
        <w:t>9.</w:t>
      </w:r>
      <w:r>
        <w:rPr>
          <w:rFonts w:hint="eastAsia"/>
          <w:spacing w:val="8"/>
          <w:lang w:eastAsia="zh-CN"/>
        </w:rPr>
        <w:t>混凝土</w:t>
      </w:r>
      <w:r>
        <w:rPr>
          <w:spacing w:val="8"/>
        </w:rPr>
        <w:t>所有权转移后甲方应做好浇筑后的养护工作，如未按规范浇筑，漏振、过振、不按规</w:t>
      </w:r>
      <w:r>
        <w:rPr>
          <w:spacing w:val="9"/>
        </w:rPr>
        <w:t>定拆模、浇水养护、降温、保暖、验收之前碰撞、挤压等所造成的砼质量事故与乙方无关；</w:t>
      </w:r>
    </w:p>
    <w:p w14:paraId="77FD27E1">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37"/>
        <w:jc w:val="both"/>
        <w:textAlignment w:val="baseline"/>
        <w:rPr>
          <w:color w:val="auto"/>
        </w:rPr>
      </w:pPr>
      <w:r>
        <w:rPr>
          <w:spacing w:val="9"/>
        </w:rPr>
        <w:t>10.浇注操作中甲方不得自行在混凝土中加水或添加其它材料，其不按规范进行操作或自行添加出现的质量问题，由甲方自负。</w:t>
      </w:r>
      <w:r>
        <w:rPr>
          <w:rFonts w:hint="eastAsia"/>
          <w:color w:val="auto"/>
          <w:spacing w:val="9"/>
          <w:lang w:val="en-US" w:eastAsia="zh-CN"/>
        </w:rPr>
        <w:t>因</w:t>
      </w:r>
      <w:r>
        <w:rPr>
          <w:rFonts w:hint="eastAsia"/>
          <w:color w:val="auto"/>
          <w:spacing w:val="9"/>
          <w:lang w:eastAsia="zh-CN"/>
        </w:rPr>
        <w:t>混凝土</w:t>
      </w:r>
      <w:r>
        <w:rPr>
          <w:rFonts w:hint="eastAsia"/>
          <w:color w:val="auto"/>
          <w:spacing w:val="9"/>
          <w:lang w:val="en-US" w:eastAsia="zh-CN"/>
        </w:rPr>
        <w:t>的坍</w:t>
      </w:r>
      <w:r>
        <w:rPr>
          <w:color w:val="auto"/>
          <w:spacing w:val="9"/>
        </w:rPr>
        <w:t>落度等原</w:t>
      </w:r>
      <w:r>
        <w:rPr>
          <w:color w:val="auto"/>
          <w:spacing w:val="8"/>
        </w:rPr>
        <w:t>因</w:t>
      </w:r>
      <w:r>
        <w:rPr>
          <w:rFonts w:hint="eastAsia"/>
          <w:color w:val="auto"/>
          <w:spacing w:val="8"/>
          <w:lang w:val="en-US" w:eastAsia="zh-CN"/>
        </w:rPr>
        <w:t>导致</w:t>
      </w:r>
      <w:r>
        <w:rPr>
          <w:color w:val="auto"/>
          <w:spacing w:val="8"/>
        </w:rPr>
        <w:t>现场无法浇筑的</w:t>
      </w:r>
      <w:r>
        <w:rPr>
          <w:rFonts w:hint="eastAsia"/>
          <w:color w:val="auto"/>
          <w:spacing w:val="8"/>
          <w:lang w:eastAsia="zh-CN"/>
        </w:rPr>
        <w:t>，</w:t>
      </w:r>
      <w:r>
        <w:rPr>
          <w:rFonts w:hint="eastAsia"/>
          <w:color w:val="auto"/>
          <w:spacing w:val="8"/>
          <w:lang w:val="en-US" w:eastAsia="zh-CN"/>
        </w:rPr>
        <w:t>甲方有权</w:t>
      </w:r>
      <w:r>
        <w:rPr>
          <w:color w:val="auto"/>
          <w:spacing w:val="8"/>
        </w:rPr>
        <w:t>退回乙方，由乙方自行处</w:t>
      </w:r>
      <w:r>
        <w:rPr>
          <w:color w:val="auto"/>
          <w:spacing w:val="1"/>
        </w:rPr>
        <w:t>置；</w:t>
      </w:r>
    </w:p>
    <w:p w14:paraId="446953A8">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18"/>
        <w:jc w:val="both"/>
        <w:textAlignment w:val="baseline"/>
      </w:pPr>
      <w:r>
        <w:rPr>
          <w:spacing w:val="10"/>
        </w:rPr>
        <w:t>11.乙方人员进入甲方的施工现场后，应服从甲方合理指挥，并积极配合现场施工。凡因乙方</w:t>
      </w:r>
      <w:r>
        <w:rPr>
          <w:spacing w:val="9"/>
        </w:rPr>
        <w:t>人员</w:t>
      </w:r>
      <w:r>
        <w:rPr>
          <w:rFonts w:hint="eastAsia"/>
          <w:color w:val="auto"/>
          <w:spacing w:val="9"/>
          <w:lang w:val="en-US" w:eastAsia="zh-CN"/>
        </w:rPr>
        <w:t>或乙方机器设备引发的人身损害或财产损失，均</w:t>
      </w:r>
      <w:r>
        <w:rPr>
          <w:color w:val="auto"/>
          <w:spacing w:val="9"/>
        </w:rPr>
        <w:t>由乙方</w:t>
      </w:r>
      <w:r>
        <w:rPr>
          <w:spacing w:val="9"/>
        </w:rPr>
        <w:t>负责</w:t>
      </w:r>
      <w:r>
        <w:rPr>
          <w:rFonts w:hint="eastAsia"/>
          <w:spacing w:val="9"/>
          <w:lang w:val="en-US" w:eastAsia="zh-CN"/>
        </w:rPr>
        <w:t>承担</w:t>
      </w:r>
      <w:r>
        <w:rPr>
          <w:spacing w:val="9"/>
        </w:rPr>
        <w:t>；</w:t>
      </w:r>
    </w:p>
    <w:p w14:paraId="44EECBC8">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35"/>
        <w:jc w:val="both"/>
        <w:textAlignment w:val="baseline"/>
      </w:pPr>
      <w:r>
        <w:rPr>
          <w:spacing w:val="10"/>
        </w:rPr>
        <w:t>12.乙方在收到甲方浇筑通知后，未安排或延期安排由此带来的工期延误应由乙方承担责任并</w:t>
      </w:r>
      <w:r>
        <w:rPr>
          <w:spacing w:val="7"/>
        </w:rPr>
        <w:t>赔偿甲方损失。</w:t>
      </w:r>
    </w:p>
    <w:p w14:paraId="1259637F">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0" w:firstLine="446" w:firstLineChars="200"/>
        <w:jc w:val="both"/>
        <w:textAlignment w:val="baseline"/>
        <w:outlineLvl w:val="3"/>
      </w:pPr>
      <w:r>
        <w:rPr>
          <w:rFonts w:hint="eastAsia"/>
          <w:b/>
          <w:bCs/>
          <w:spacing w:val="6"/>
          <w:lang w:val="en-US" w:eastAsia="zh-CN"/>
        </w:rPr>
        <w:t>第六条</w:t>
      </w:r>
      <w:r>
        <w:rPr>
          <w:b/>
          <w:bCs/>
          <w:spacing w:val="6"/>
        </w:rPr>
        <w:t>、违约责任</w:t>
      </w:r>
    </w:p>
    <w:p w14:paraId="4911659A">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35"/>
        <w:jc w:val="both"/>
        <w:textAlignment w:val="baseline"/>
        <w:rPr>
          <w:rFonts w:hint="default" w:eastAsia="宋体"/>
          <w:color w:val="00B050"/>
          <w:lang w:val="en-US" w:eastAsia="zh-CN"/>
        </w:rPr>
      </w:pPr>
      <w:r>
        <w:rPr>
          <w:spacing w:val="8"/>
        </w:rPr>
        <w:t>1.合同签订后，乙方无正当理由拒不履行合同义务或有任何违约行为的，经甲方催告在</w:t>
      </w:r>
      <w:r>
        <w:rPr>
          <w:spacing w:val="7"/>
        </w:rPr>
        <w:t>合理时</w:t>
      </w:r>
      <w:r>
        <w:rPr>
          <w:spacing w:val="11"/>
        </w:rPr>
        <w:t>间内仍未履行或改正，应支付甲方</w:t>
      </w:r>
      <w:r>
        <w:rPr>
          <w:spacing w:val="-98"/>
        </w:rPr>
        <w:t xml:space="preserve"> </w:t>
      </w:r>
      <w:r>
        <w:rPr>
          <w:spacing w:val="6"/>
          <w:u w:val="single" w:color="auto"/>
        </w:rPr>
        <w:t xml:space="preserve"> </w:t>
      </w:r>
      <w:r>
        <w:rPr>
          <w:rFonts w:hint="eastAsia"/>
          <w:spacing w:val="6"/>
          <w:u w:val="single" w:color="auto"/>
          <w:lang w:val="en-US" w:eastAsia="zh-CN"/>
        </w:rPr>
        <w:t>100000</w:t>
      </w:r>
      <w:r>
        <w:rPr>
          <w:spacing w:val="6"/>
          <w:u w:val="single" w:color="auto"/>
        </w:rPr>
        <w:t xml:space="preserve"> </w:t>
      </w:r>
      <w:r>
        <w:rPr>
          <w:spacing w:val="-90"/>
        </w:rPr>
        <w:t xml:space="preserve"> </w:t>
      </w:r>
      <w:r>
        <w:rPr>
          <w:spacing w:val="11"/>
        </w:rPr>
        <w:t>元的违约金，同时甲</w:t>
      </w:r>
      <w:r>
        <w:rPr>
          <w:spacing w:val="10"/>
        </w:rPr>
        <w:t>方有权解除合同并要求乙方赔偿相关</w:t>
      </w:r>
      <w:r>
        <w:rPr>
          <w:spacing w:val="3"/>
        </w:rPr>
        <w:t>损失。</w:t>
      </w:r>
    </w:p>
    <w:p w14:paraId="1223BDB2">
      <w:pPr>
        <w:pStyle w:val="7"/>
        <w:keepNext w:val="0"/>
        <w:keepLines w:val="0"/>
        <w:pageBreakBefore w:val="0"/>
        <w:widowControl w:val="0"/>
        <w:kinsoku w:val="0"/>
        <w:wordWrap/>
        <w:overflowPunct/>
        <w:topLinePunct w:val="0"/>
        <w:autoSpaceDE w:val="0"/>
        <w:autoSpaceDN w:val="0"/>
        <w:bidi w:val="0"/>
        <w:adjustRightInd w:val="0"/>
        <w:snapToGrid w:val="0"/>
        <w:spacing w:before="31" w:line="300" w:lineRule="auto"/>
        <w:ind w:left="0" w:right="0" w:firstLine="420"/>
        <w:jc w:val="both"/>
        <w:textAlignment w:val="baseline"/>
      </w:pPr>
      <w:r>
        <w:rPr>
          <w:rFonts w:hint="eastAsia"/>
          <w:spacing w:val="13"/>
          <w:lang w:val="en-US" w:eastAsia="zh-CN"/>
        </w:rPr>
        <w:t>2</w:t>
      </w:r>
      <w:r>
        <w:rPr>
          <w:spacing w:val="13"/>
        </w:rPr>
        <w:t>.如乙方在混凝土供应过程中发生不诚信行为或串通甲方收料人员弄虚作假给甲方造成损失</w:t>
      </w:r>
      <w:r>
        <w:rPr>
          <w:spacing w:val="9"/>
        </w:rPr>
        <w:t>的，乙方须赔偿甲方的全部损失，甲方有权单方面</w:t>
      </w:r>
      <w:r>
        <w:rPr>
          <w:spacing w:val="8"/>
        </w:rPr>
        <w:t>终止合同并保留进一步向乙方追究法律责任的权</w:t>
      </w:r>
      <w:r>
        <w:t>利。</w:t>
      </w:r>
    </w:p>
    <w:p w14:paraId="7CB5001A">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56" w:firstLineChars="200"/>
        <w:jc w:val="both"/>
        <w:textAlignment w:val="baseline"/>
        <w:rPr>
          <w:spacing w:val="8"/>
        </w:rPr>
      </w:pPr>
      <w:r>
        <w:rPr>
          <w:rFonts w:hint="eastAsia"/>
          <w:spacing w:val="9"/>
          <w:lang w:val="en-US" w:eastAsia="zh-CN"/>
        </w:rPr>
        <w:t>3</w:t>
      </w:r>
      <w:r>
        <w:rPr>
          <w:spacing w:val="9"/>
        </w:rPr>
        <w:t>.因乙方供应的</w:t>
      </w:r>
      <w:r>
        <w:rPr>
          <w:rFonts w:hint="eastAsia"/>
          <w:spacing w:val="9"/>
          <w:lang w:eastAsia="zh-CN"/>
        </w:rPr>
        <w:t>混凝土</w:t>
      </w:r>
      <w:r>
        <w:rPr>
          <w:spacing w:val="9"/>
        </w:rPr>
        <w:t>发生质量问题，造成甲方损失，其责任由乙方承</w:t>
      </w:r>
      <w:r>
        <w:rPr>
          <w:spacing w:val="8"/>
        </w:rPr>
        <w:t>担。</w:t>
      </w:r>
    </w:p>
    <w:p w14:paraId="1F218E33">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52" w:firstLineChars="200"/>
        <w:jc w:val="both"/>
        <w:textAlignment w:val="baseline"/>
        <w:rPr>
          <w:rFonts w:hint="eastAsia"/>
          <w:color w:val="auto"/>
          <w:spacing w:val="8"/>
          <w:lang w:val="en-US" w:eastAsia="zh-CN"/>
        </w:rPr>
      </w:pPr>
      <w:r>
        <w:rPr>
          <w:rFonts w:hint="eastAsia"/>
          <w:color w:val="auto"/>
          <w:spacing w:val="8"/>
          <w:lang w:val="en-US" w:eastAsia="zh-CN"/>
        </w:rPr>
        <w:t>4.乙方应支付给甲方的违约金或赔偿金，甲方有权直接在应付乙方的货款中予以扣减，不足扣减的，乙方需就不足部分另行支付。</w:t>
      </w:r>
    </w:p>
    <w:p w14:paraId="0D3122C0">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left="0" w:right="0" w:firstLine="452" w:firstLineChars="200"/>
        <w:jc w:val="both"/>
        <w:textAlignment w:val="baseline"/>
        <w:rPr>
          <w:rFonts w:hint="default"/>
          <w:color w:val="auto"/>
          <w:spacing w:val="8"/>
          <w:lang w:val="en-US" w:eastAsia="zh-CN"/>
        </w:rPr>
      </w:pPr>
      <w:r>
        <w:rPr>
          <w:rFonts w:hint="eastAsia"/>
          <w:color w:val="auto"/>
          <w:spacing w:val="8"/>
          <w:lang w:val="en-US" w:eastAsia="zh-CN"/>
        </w:rPr>
        <w:t>5.由于不可抗力的影响致使本合同不能履行时，一方有权通知另一方解除合同，双方均不承担违约责任。</w:t>
      </w:r>
    </w:p>
    <w:p w14:paraId="474037F8">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50" w:firstLineChars="200"/>
        <w:jc w:val="both"/>
        <w:textAlignment w:val="baseline"/>
        <w:outlineLvl w:val="3"/>
      </w:pPr>
      <w:r>
        <w:rPr>
          <w:rFonts w:hint="eastAsia"/>
          <w:b/>
          <w:bCs/>
          <w:spacing w:val="7"/>
          <w:lang w:val="en-US" w:eastAsia="zh-CN"/>
        </w:rPr>
        <w:t>第七条</w:t>
      </w:r>
      <w:r>
        <w:rPr>
          <w:b/>
          <w:bCs/>
          <w:spacing w:val="6"/>
        </w:rPr>
        <w:t>、双方特别约定</w:t>
      </w:r>
    </w:p>
    <w:p w14:paraId="6414932E">
      <w:pPr>
        <w:keepNext w:val="0"/>
        <w:keepLines w:val="0"/>
        <w:pageBreakBefore w:val="0"/>
        <w:widowControl w:val="0"/>
        <w:kinsoku w:val="0"/>
        <w:wordWrap/>
        <w:overflowPunct/>
        <w:topLinePunct w:val="0"/>
        <w:autoSpaceDE w:val="0"/>
        <w:autoSpaceDN w:val="0"/>
        <w:bidi w:val="0"/>
        <w:adjustRightInd w:val="0"/>
        <w:snapToGrid w:val="0"/>
        <w:spacing w:line="300" w:lineRule="auto"/>
        <w:ind w:left="0" w:right="0" w:firstLine="434" w:firstLineChars="200"/>
        <w:jc w:val="both"/>
        <w:textAlignment w:val="baseline"/>
        <w:rPr>
          <w:rFonts w:ascii="宋体" w:hAnsi="宋体" w:eastAsia="宋体" w:cs="宋体"/>
          <w:b/>
          <w:bCs/>
          <w:snapToGrid w:val="0"/>
          <w:color w:val="1D41D5"/>
          <w:spacing w:val="8"/>
          <w:kern w:val="0"/>
          <w:sz w:val="20"/>
          <w:szCs w:val="20"/>
          <w:lang w:val="en-US" w:eastAsia="en-US" w:bidi="ar-SA"/>
        </w:rPr>
      </w:pPr>
      <w:r>
        <w:rPr>
          <w:rFonts w:ascii="宋体" w:hAnsi="宋体" w:eastAsia="宋体" w:cs="宋体"/>
          <w:b/>
          <w:bCs/>
          <w:snapToGrid w:val="0"/>
          <w:color w:val="1D41D5"/>
          <w:spacing w:val="8"/>
          <w:kern w:val="0"/>
          <w:sz w:val="20"/>
          <w:szCs w:val="20"/>
          <w:lang w:val="en-US" w:eastAsia="en-US" w:bidi="ar-SA"/>
        </w:rPr>
        <w:t>1.双方在此声明：订立本合同是双方基于对本次交易的充分沟通与理解的基础上达成的真实意思表示，不存在重大误解，也不存在一方欺诈、胁迫或乘人之危等行为，双方对合同内容均无异议。本合同文本系由双方共同协商拟定，均非格式条款，在此基础上，双方已详细阅读并充分理解本合同及合同附件的所有条款，合同相关方对本合同条款的理解完全一致，且甲方已就本合同进行了充分、完整的说明，对合同中有关双方权利义务的条款采取合理方式提请乙方注意。</w:t>
      </w:r>
    </w:p>
    <w:p w14:paraId="7ADA969F">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3"/>
        <w:jc w:val="both"/>
        <w:textAlignment w:val="baseline"/>
      </w:pPr>
      <w:r>
        <w:rPr>
          <w:b/>
          <w:bCs/>
          <w:color w:val="FF0000"/>
          <w:spacing w:val="7"/>
        </w:rPr>
        <w:t>2.甲方不允许项目部人员擅自变更本合同以及以甲方或甲方项目部名义对外借款。甲方与</w:t>
      </w:r>
      <w:r>
        <w:rPr>
          <w:b/>
          <w:bCs/>
          <w:color w:val="FF0000"/>
          <w:spacing w:val="6"/>
        </w:rPr>
        <w:t>乙方</w:t>
      </w:r>
      <w:r>
        <w:rPr>
          <w:b/>
          <w:bCs/>
          <w:color w:val="FF0000"/>
          <w:spacing w:val="7"/>
        </w:rPr>
        <w:t>之间签订的任何合同、协议、补充合同均以甲方加盖公章确认，除此之外，加盖任何项目部印章、技术资料专用章、项目部财务章或项目部人员签名</w:t>
      </w:r>
      <w:r>
        <w:rPr>
          <w:rFonts w:hint="eastAsia"/>
          <w:b/>
          <w:bCs/>
          <w:color w:val="FF0000"/>
          <w:spacing w:val="7"/>
          <w:lang w:val="en-US" w:eastAsia="zh-CN"/>
        </w:rPr>
        <w:t>等</w:t>
      </w:r>
      <w:r>
        <w:rPr>
          <w:b/>
          <w:bCs/>
          <w:color w:val="FF0000"/>
          <w:spacing w:val="7"/>
        </w:rPr>
        <w:t>均对甲方不具有效力。乙方应谨慎审查相关文件的签署主体资格和权限，对于相关无权代理人签署的文件，乙方应及时提交甲方追认，甲方未盖章追认的，对甲方不产生效力。乙方与甲方项目部人员相互串通虚构发货单或结算单的，应向甲方支付虚构金额</w:t>
      </w:r>
      <w:r>
        <w:rPr>
          <w:color w:val="FF0000"/>
          <w:spacing w:val="7"/>
          <w:u w:val="single" w:color="auto"/>
        </w:rPr>
        <w:t xml:space="preserve">  </w:t>
      </w:r>
      <w:r>
        <w:rPr>
          <w:b/>
          <w:bCs/>
          <w:color w:val="FF0000"/>
          <w:spacing w:val="7"/>
          <w:u w:val="single" w:color="auto"/>
        </w:rPr>
        <w:t>十</w:t>
      </w:r>
      <w:r>
        <w:rPr>
          <w:color w:val="FF0000"/>
          <w:spacing w:val="7"/>
          <w:u w:val="single" w:color="auto"/>
        </w:rPr>
        <w:t xml:space="preserve"> </w:t>
      </w:r>
      <w:r>
        <w:rPr>
          <w:b/>
          <w:bCs/>
          <w:color w:val="FF0000"/>
          <w:spacing w:val="7"/>
        </w:rPr>
        <w:t>倍的违约金。</w:t>
      </w:r>
    </w:p>
    <w:p w14:paraId="5B3E1C13">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46" w:firstLineChars="200"/>
        <w:jc w:val="both"/>
        <w:textAlignment w:val="baseline"/>
        <w:outlineLvl w:val="3"/>
      </w:pPr>
      <w:r>
        <w:rPr>
          <w:rFonts w:hint="eastAsia"/>
          <w:b/>
          <w:bCs/>
          <w:spacing w:val="6"/>
          <w:lang w:val="en-US" w:eastAsia="zh-CN"/>
        </w:rPr>
        <w:t>第八条</w:t>
      </w:r>
      <w:r>
        <w:rPr>
          <w:b/>
          <w:bCs/>
          <w:spacing w:val="6"/>
        </w:rPr>
        <w:t>、廉洁和反腐</w:t>
      </w:r>
    </w:p>
    <w:p w14:paraId="2D227E05">
      <w:pPr>
        <w:pStyle w:val="7"/>
        <w:keepNext w:val="0"/>
        <w:keepLines w:val="0"/>
        <w:pageBreakBefore w:val="0"/>
        <w:widowControl/>
        <w:kinsoku w:val="0"/>
        <w:wordWrap/>
        <w:overflowPunct/>
        <w:topLinePunct w:val="0"/>
        <w:autoSpaceDE w:val="0"/>
        <w:autoSpaceDN w:val="0"/>
        <w:bidi w:val="0"/>
        <w:adjustRightInd w:val="0"/>
        <w:snapToGrid w:val="0"/>
        <w:spacing w:before="112" w:line="300" w:lineRule="auto"/>
        <w:ind w:left="0" w:right="0" w:firstLine="436"/>
        <w:jc w:val="both"/>
        <w:textAlignment w:val="baseline"/>
        <w:rPr>
          <w:b w:val="0"/>
          <w:bCs w:val="0"/>
        </w:rPr>
      </w:pPr>
      <w:r>
        <w:rPr>
          <w:b w:val="0"/>
          <w:bCs w:val="0"/>
          <w:spacing w:val="7"/>
        </w:rPr>
        <w:t>乙方不得以任何形式向甲方人员</w:t>
      </w:r>
      <w:r>
        <w:rPr>
          <w:rFonts w:hint="eastAsia"/>
          <w:b w:val="0"/>
          <w:bCs w:val="0"/>
          <w:spacing w:val="10"/>
          <w:lang w:eastAsia="zh-CN"/>
        </w:rPr>
        <w:t>或其亲属</w:t>
      </w:r>
      <w:r>
        <w:rPr>
          <w:b w:val="0"/>
          <w:bCs w:val="0"/>
          <w:spacing w:val="7"/>
        </w:rPr>
        <w:t>赠送各种礼品</w:t>
      </w:r>
      <w:r>
        <w:rPr>
          <w:b w:val="0"/>
          <w:bCs w:val="0"/>
          <w:spacing w:val="6"/>
        </w:rPr>
        <w:t>，礼券（现金</w:t>
      </w:r>
      <w:r>
        <w:rPr>
          <w:b w:val="0"/>
          <w:bCs w:val="0"/>
          <w:spacing w:val="11"/>
        </w:rPr>
        <w:t>），</w:t>
      </w:r>
      <w:r>
        <w:rPr>
          <w:b w:val="0"/>
          <w:bCs w:val="0"/>
          <w:spacing w:val="6"/>
        </w:rPr>
        <w:t>甲方人员不得以任何借口，收</w:t>
      </w:r>
      <w:r>
        <w:rPr>
          <w:b w:val="0"/>
          <w:bCs w:val="0"/>
          <w:spacing w:val="7"/>
        </w:rPr>
        <w:t>受各种礼品，礼券（现金</w:t>
      </w:r>
      <w:r>
        <w:rPr>
          <w:b w:val="0"/>
          <w:bCs w:val="0"/>
          <w:spacing w:val="24"/>
        </w:rPr>
        <w:t>），</w:t>
      </w:r>
      <w:r>
        <w:rPr>
          <w:b w:val="0"/>
          <w:bCs w:val="0"/>
          <w:spacing w:val="7"/>
        </w:rPr>
        <w:t>如有违反，相关人员承担相应的党纪、法律责任。</w:t>
      </w:r>
    </w:p>
    <w:p w14:paraId="16953B09">
      <w:pPr>
        <w:pStyle w:val="7"/>
        <w:keepNext w:val="0"/>
        <w:keepLines w:val="0"/>
        <w:pageBreakBefore w:val="0"/>
        <w:widowControl/>
        <w:kinsoku w:val="0"/>
        <w:wordWrap/>
        <w:overflowPunct/>
        <w:topLinePunct w:val="0"/>
        <w:autoSpaceDE w:val="0"/>
        <w:autoSpaceDN w:val="0"/>
        <w:bidi w:val="0"/>
        <w:adjustRightInd w:val="0"/>
        <w:snapToGrid w:val="0"/>
        <w:spacing w:before="31" w:line="300" w:lineRule="auto"/>
        <w:ind w:left="0" w:right="0" w:firstLine="446" w:firstLineChars="200"/>
        <w:jc w:val="both"/>
        <w:textAlignment w:val="baseline"/>
        <w:outlineLvl w:val="3"/>
      </w:pPr>
      <w:r>
        <w:rPr>
          <w:rFonts w:hint="eastAsia"/>
          <w:b/>
          <w:bCs/>
          <w:spacing w:val="6"/>
          <w:lang w:val="en-US" w:eastAsia="zh-CN"/>
        </w:rPr>
        <w:t>第九条</w:t>
      </w:r>
      <w:r>
        <w:rPr>
          <w:b/>
          <w:bCs/>
          <w:spacing w:val="6"/>
        </w:rPr>
        <w:t>、合同文件组成</w:t>
      </w:r>
    </w:p>
    <w:p w14:paraId="4B96451C">
      <w:pPr>
        <w:pStyle w:val="7"/>
        <w:keepNext w:val="0"/>
        <w:keepLines w:val="0"/>
        <w:pageBreakBefore w:val="0"/>
        <w:widowControl/>
        <w:kinsoku w:val="0"/>
        <w:wordWrap/>
        <w:overflowPunct/>
        <w:topLinePunct w:val="0"/>
        <w:autoSpaceDE w:val="0"/>
        <w:autoSpaceDN w:val="0"/>
        <w:bidi w:val="0"/>
        <w:adjustRightInd w:val="0"/>
        <w:snapToGrid w:val="0"/>
        <w:spacing w:before="113" w:line="300" w:lineRule="auto"/>
        <w:ind w:left="0" w:right="0" w:firstLine="418"/>
        <w:jc w:val="both"/>
        <w:textAlignment w:val="baseline"/>
      </w:pPr>
      <w:r>
        <w:rPr>
          <w:spacing w:val="9"/>
        </w:rPr>
        <w:t>本合同与下列文件一起构成合同文件：标准、</w:t>
      </w:r>
      <w:r>
        <w:rPr>
          <w:spacing w:val="8"/>
        </w:rPr>
        <w:t>规范及有关技术文件，双方有关工程的洽商、变更等书面协议或文件视为本合同的组成部分。</w:t>
      </w:r>
    </w:p>
    <w:p w14:paraId="4B2733F9">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left="0" w:right="0" w:firstLine="446" w:firstLineChars="200"/>
        <w:jc w:val="both"/>
        <w:textAlignment w:val="baseline"/>
        <w:outlineLvl w:val="3"/>
      </w:pPr>
      <w:r>
        <w:rPr>
          <w:rFonts w:hint="eastAsia"/>
          <w:b/>
          <w:bCs/>
          <w:spacing w:val="6"/>
          <w:lang w:val="en-US" w:eastAsia="zh-CN"/>
        </w:rPr>
        <w:t>第十条</w:t>
      </w:r>
      <w:r>
        <w:rPr>
          <w:b/>
          <w:bCs/>
          <w:spacing w:val="6"/>
        </w:rPr>
        <w:t>、其他</w:t>
      </w:r>
    </w:p>
    <w:p w14:paraId="379F92E2">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right="0" w:firstLine="452" w:firstLineChars="200"/>
        <w:jc w:val="both"/>
        <w:textAlignment w:val="baseline"/>
      </w:pPr>
      <w:r>
        <w:rPr>
          <w:spacing w:val="8"/>
        </w:rPr>
        <w:t>1.</w:t>
      </w:r>
      <w:r>
        <w:rPr>
          <w:b/>
          <w:bCs/>
          <w:color w:val="FF0000"/>
          <w:spacing w:val="8"/>
          <w:u w:val="single"/>
          <w:lang w:eastAsia="zh-CN"/>
        </w:rPr>
        <w:t>本合同为限量合同，实际根据现场使用量，在本合同约定的采购数量内进行结算，如</w:t>
      </w:r>
      <w:r>
        <w:rPr>
          <w:rFonts w:hint="eastAsia"/>
          <w:b/>
          <w:bCs/>
          <w:color w:val="FF0000"/>
          <w:spacing w:val="8"/>
          <w:u w:val="single"/>
          <w:lang w:val="en-US" w:eastAsia="zh-CN"/>
        </w:rPr>
        <w:t>实际采购量</w:t>
      </w:r>
      <w:r>
        <w:rPr>
          <w:b/>
          <w:bCs/>
          <w:color w:val="FF0000"/>
          <w:spacing w:val="8"/>
          <w:u w:val="single"/>
          <w:lang w:eastAsia="zh-CN"/>
        </w:rPr>
        <w:t>超出</w:t>
      </w:r>
      <w:r>
        <w:rPr>
          <w:b/>
          <w:bCs/>
          <w:color w:val="FF0000"/>
          <w:spacing w:val="7"/>
          <w:u w:val="single"/>
          <w:lang w:eastAsia="zh-CN"/>
        </w:rPr>
        <w:t>本合同约定</w:t>
      </w:r>
      <w:r>
        <w:rPr>
          <w:rFonts w:hint="eastAsia"/>
          <w:b/>
          <w:bCs/>
          <w:color w:val="FF0000"/>
          <w:spacing w:val="7"/>
          <w:u w:val="single"/>
          <w:lang w:val="en-US" w:eastAsia="zh-CN"/>
        </w:rPr>
        <w:t>数量</w:t>
      </w:r>
      <w:r>
        <w:rPr>
          <w:b/>
          <w:bCs/>
          <w:color w:val="FF0000"/>
          <w:spacing w:val="7"/>
          <w:u w:val="single"/>
          <w:lang w:eastAsia="zh-CN"/>
        </w:rPr>
        <w:t>的</w:t>
      </w:r>
      <w:r>
        <w:rPr>
          <w:rFonts w:hint="eastAsia"/>
          <w:b/>
          <w:bCs/>
          <w:color w:val="FF0000"/>
          <w:spacing w:val="7"/>
          <w:u w:val="single"/>
          <w:lang w:val="en-US" w:eastAsia="zh-CN"/>
        </w:rPr>
        <w:t>110%</w:t>
      </w:r>
      <w:r>
        <w:rPr>
          <w:b/>
          <w:bCs/>
          <w:color w:val="FF0000"/>
          <w:spacing w:val="7"/>
          <w:u w:val="single"/>
          <w:lang w:eastAsia="zh-CN"/>
        </w:rPr>
        <w:t>，需</w:t>
      </w:r>
      <w:r>
        <w:rPr>
          <w:rFonts w:hint="eastAsia"/>
          <w:b/>
          <w:bCs/>
          <w:color w:val="FF0000"/>
          <w:spacing w:val="7"/>
          <w:u w:val="single"/>
          <w:lang w:eastAsia="zh-CN"/>
        </w:rPr>
        <w:t>就超出</w:t>
      </w:r>
      <w:r>
        <w:rPr>
          <w:rFonts w:hint="eastAsia"/>
          <w:b/>
          <w:bCs/>
          <w:color w:val="FF0000"/>
          <w:spacing w:val="7"/>
          <w:u w:val="single"/>
          <w:lang w:val="en-US" w:eastAsia="zh-CN"/>
        </w:rPr>
        <w:t>合同约定数量100%的</w:t>
      </w:r>
      <w:r>
        <w:rPr>
          <w:rFonts w:hint="eastAsia"/>
          <w:b/>
          <w:bCs/>
          <w:color w:val="FF0000"/>
          <w:spacing w:val="7"/>
          <w:u w:val="single"/>
          <w:lang w:eastAsia="zh-CN"/>
        </w:rPr>
        <w:t>部分</w:t>
      </w:r>
      <w:r>
        <w:rPr>
          <w:b/>
          <w:bCs/>
          <w:color w:val="FF0000"/>
          <w:spacing w:val="7"/>
          <w:u w:val="single"/>
          <w:lang w:eastAsia="zh-CN"/>
        </w:rPr>
        <w:t>另</w:t>
      </w:r>
      <w:r>
        <w:rPr>
          <w:rFonts w:hint="eastAsia"/>
          <w:b/>
          <w:bCs/>
          <w:color w:val="FF0000"/>
          <w:spacing w:val="7"/>
          <w:u w:val="single"/>
          <w:lang w:eastAsia="zh-CN"/>
        </w:rPr>
        <w:t>行签订补充</w:t>
      </w:r>
      <w:r>
        <w:rPr>
          <w:b/>
          <w:bCs/>
          <w:color w:val="FF0000"/>
          <w:spacing w:val="7"/>
          <w:u w:val="single"/>
          <w:lang w:eastAsia="zh-CN"/>
        </w:rPr>
        <w:t>合同</w:t>
      </w:r>
      <w:r>
        <w:rPr>
          <w:rFonts w:hint="eastAsia"/>
          <w:b/>
          <w:bCs/>
          <w:color w:val="FF0000"/>
          <w:spacing w:val="7"/>
          <w:u w:val="single"/>
          <w:lang w:eastAsia="zh-CN"/>
        </w:rPr>
        <w:t>。</w:t>
      </w:r>
      <w:r>
        <w:rPr>
          <w:b/>
          <w:bCs/>
          <w:color w:val="FF0000"/>
          <w:spacing w:val="7"/>
          <w:u w:val="single"/>
          <w:lang w:eastAsia="zh-CN"/>
        </w:rPr>
        <w:t>否则乙方自愿放弃以任何形</w:t>
      </w:r>
      <w:r>
        <w:rPr>
          <w:b/>
          <w:bCs/>
          <w:color w:val="FF0000"/>
          <w:spacing w:val="6"/>
          <w:u w:val="single"/>
          <w:lang w:eastAsia="zh-CN"/>
        </w:rPr>
        <w:t>式或理由向甲方主张超出</w:t>
      </w:r>
      <w:r>
        <w:rPr>
          <w:rFonts w:hint="eastAsia"/>
          <w:b/>
          <w:bCs/>
          <w:color w:val="FF0000"/>
          <w:spacing w:val="6"/>
          <w:u w:val="single"/>
          <w:lang w:val="en-US" w:eastAsia="zh-CN"/>
        </w:rPr>
        <w:t>合同约定数量100%部分的</w:t>
      </w:r>
      <w:r>
        <w:rPr>
          <w:b/>
          <w:bCs/>
          <w:color w:val="FF0000"/>
          <w:spacing w:val="9"/>
          <w:u w:val="single"/>
          <w:lang w:eastAsia="zh-CN"/>
        </w:rPr>
        <w:t>货款。</w:t>
      </w:r>
    </w:p>
    <w:p w14:paraId="14349EA6">
      <w:pPr>
        <w:pStyle w:val="7"/>
        <w:keepNext w:val="0"/>
        <w:keepLines w:val="0"/>
        <w:pageBreakBefore w:val="0"/>
        <w:widowControl/>
        <w:kinsoku w:val="0"/>
        <w:wordWrap/>
        <w:overflowPunct/>
        <w:topLinePunct w:val="0"/>
        <w:autoSpaceDE w:val="0"/>
        <w:autoSpaceDN w:val="0"/>
        <w:bidi w:val="0"/>
        <w:adjustRightInd w:val="0"/>
        <w:snapToGrid w:val="0"/>
        <w:spacing w:before="33" w:line="300" w:lineRule="auto"/>
        <w:ind w:right="0" w:firstLine="460" w:firstLineChars="200"/>
        <w:jc w:val="both"/>
        <w:textAlignment w:val="baseline"/>
      </w:pPr>
      <w:r>
        <w:rPr>
          <w:rFonts w:hint="eastAsia"/>
          <w:spacing w:val="10"/>
          <w:lang w:val="en-US" w:eastAsia="zh-CN"/>
        </w:rPr>
        <w:t>2</w:t>
      </w:r>
      <w:r>
        <w:rPr>
          <w:spacing w:val="10"/>
        </w:rPr>
        <w:t>.乙方如无法保证对</w:t>
      </w:r>
      <w:r>
        <w:rPr>
          <w:rFonts w:hint="eastAsia"/>
          <w:color w:val="auto"/>
          <w:spacing w:val="10"/>
          <w:lang w:val="en-US" w:eastAsia="zh-CN"/>
        </w:rPr>
        <w:t>甲方</w:t>
      </w:r>
      <w:r>
        <w:rPr>
          <w:color w:val="auto"/>
          <w:spacing w:val="10"/>
        </w:rPr>
        <w:t>施工进度</w:t>
      </w:r>
      <w:r>
        <w:rPr>
          <w:rFonts w:hint="eastAsia"/>
          <w:color w:val="auto"/>
          <w:spacing w:val="10"/>
          <w:lang w:val="en-US" w:eastAsia="zh-CN"/>
        </w:rPr>
        <w:t>的供应</w:t>
      </w:r>
      <w:r>
        <w:rPr>
          <w:color w:val="auto"/>
          <w:spacing w:val="10"/>
        </w:rPr>
        <w:t>或</w:t>
      </w:r>
      <w:r>
        <w:rPr>
          <w:rFonts w:hint="eastAsia"/>
          <w:color w:val="auto"/>
          <w:spacing w:val="10"/>
          <w:lang w:val="en-US" w:eastAsia="zh-CN"/>
        </w:rPr>
        <w:t>供应的混凝土</w:t>
      </w:r>
      <w:r>
        <w:rPr>
          <w:color w:val="auto"/>
          <w:spacing w:val="10"/>
        </w:rPr>
        <w:t>达不到</w:t>
      </w:r>
      <w:r>
        <w:rPr>
          <w:rFonts w:hint="eastAsia"/>
          <w:color w:val="auto"/>
          <w:spacing w:val="10"/>
          <w:lang w:val="en-US" w:eastAsia="zh-CN"/>
        </w:rPr>
        <w:t>甲方</w:t>
      </w:r>
      <w:r>
        <w:rPr>
          <w:color w:val="auto"/>
          <w:spacing w:val="10"/>
        </w:rPr>
        <w:t>要求</w:t>
      </w:r>
      <w:r>
        <w:rPr>
          <w:spacing w:val="10"/>
        </w:rPr>
        <w:t>，甲方有</w:t>
      </w:r>
      <w:r>
        <w:rPr>
          <w:spacing w:val="9"/>
        </w:rPr>
        <w:t>权解除合同，同时要求乙方赔偿甲方</w:t>
      </w:r>
      <w:r>
        <w:rPr>
          <w:spacing w:val="5"/>
        </w:rPr>
        <w:t>经济损失；</w:t>
      </w:r>
    </w:p>
    <w:p w14:paraId="695786B2">
      <w:pPr>
        <w:pStyle w:val="7"/>
        <w:keepNext w:val="0"/>
        <w:keepLines w:val="0"/>
        <w:pageBreakBefore w:val="0"/>
        <w:widowControl/>
        <w:kinsoku w:val="0"/>
        <w:wordWrap/>
        <w:overflowPunct/>
        <w:topLinePunct w:val="0"/>
        <w:autoSpaceDE w:val="0"/>
        <w:autoSpaceDN w:val="0"/>
        <w:bidi w:val="0"/>
        <w:adjustRightInd w:val="0"/>
        <w:snapToGrid w:val="0"/>
        <w:spacing w:before="30" w:line="300" w:lineRule="auto"/>
        <w:ind w:right="0" w:firstLine="456" w:firstLineChars="200"/>
        <w:jc w:val="both"/>
        <w:textAlignment w:val="baseline"/>
      </w:pPr>
      <w:r>
        <w:rPr>
          <w:rFonts w:hint="eastAsia"/>
          <w:spacing w:val="9"/>
          <w:lang w:val="en-US" w:eastAsia="zh-CN"/>
        </w:rPr>
        <w:t>3</w:t>
      </w:r>
      <w:r>
        <w:rPr>
          <w:spacing w:val="9"/>
        </w:rPr>
        <w:t>.发生争议后，双方首先协商解决，协商不成时，向</w:t>
      </w:r>
      <w:r>
        <w:rPr>
          <w:rFonts w:hint="eastAsia"/>
          <w:spacing w:val="9"/>
          <w:lang w:val="en-US" w:eastAsia="zh-CN"/>
        </w:rPr>
        <w:t>甲方所在地</w:t>
      </w:r>
      <w:r>
        <w:rPr>
          <w:spacing w:val="9"/>
        </w:rPr>
        <w:t>法院进行起诉。</w:t>
      </w:r>
    </w:p>
    <w:p w14:paraId="128D34E8">
      <w:pPr>
        <w:pStyle w:val="7"/>
        <w:keepNext w:val="0"/>
        <w:keepLines w:val="0"/>
        <w:pageBreakBefore w:val="0"/>
        <w:widowControl/>
        <w:kinsoku w:val="0"/>
        <w:wordWrap/>
        <w:overflowPunct/>
        <w:topLinePunct w:val="0"/>
        <w:autoSpaceDE w:val="0"/>
        <w:autoSpaceDN w:val="0"/>
        <w:bidi w:val="0"/>
        <w:adjustRightInd w:val="0"/>
        <w:snapToGrid w:val="0"/>
        <w:spacing w:before="114" w:line="300" w:lineRule="auto"/>
        <w:ind w:left="0" w:right="0" w:firstLine="456" w:firstLineChars="200"/>
        <w:jc w:val="both"/>
        <w:textAlignment w:val="baseline"/>
      </w:pPr>
      <w:r>
        <w:rPr>
          <w:rFonts w:hint="eastAsia"/>
          <w:spacing w:val="9"/>
          <w:lang w:val="en-US" w:eastAsia="zh-CN"/>
        </w:rPr>
        <w:t>4</w:t>
      </w:r>
      <w:r>
        <w:rPr>
          <w:spacing w:val="9"/>
        </w:rPr>
        <w:t>.本合同未尽事宜，双方可协商后签订补充协议，补充协议与本合同具有同等效力。</w:t>
      </w:r>
    </w:p>
    <w:p w14:paraId="3A3AAF84">
      <w:pPr>
        <w:pStyle w:val="7"/>
        <w:keepNext w:val="0"/>
        <w:keepLines w:val="0"/>
        <w:pageBreakBefore w:val="0"/>
        <w:widowControl/>
        <w:tabs>
          <w:tab w:val="left" w:pos="524"/>
        </w:tabs>
        <w:kinsoku w:val="0"/>
        <w:wordWrap/>
        <w:overflowPunct/>
        <w:topLinePunct w:val="0"/>
        <w:autoSpaceDE w:val="0"/>
        <w:autoSpaceDN w:val="0"/>
        <w:bidi w:val="0"/>
        <w:adjustRightInd w:val="0"/>
        <w:snapToGrid w:val="0"/>
        <w:spacing w:line="300" w:lineRule="auto"/>
        <w:ind w:right="0" w:firstLine="452" w:firstLineChars="200"/>
        <w:jc w:val="both"/>
        <w:textAlignment w:val="baseline"/>
        <w:rPr>
          <w:spacing w:val="9"/>
        </w:rPr>
      </w:pPr>
      <w:r>
        <w:rPr>
          <w:rFonts w:hint="eastAsia"/>
          <w:spacing w:val="8"/>
          <w:lang w:val="en-US" w:eastAsia="zh-CN"/>
        </w:rPr>
        <w:t>5</w:t>
      </w:r>
      <w:r>
        <w:rPr>
          <w:spacing w:val="8"/>
        </w:rPr>
        <w:t>.本合同自</w:t>
      </w:r>
      <w:r>
        <w:rPr>
          <w:rFonts w:hint="eastAsia"/>
          <w:b/>
          <w:bCs/>
          <w:color w:val="auto"/>
          <w:spacing w:val="8"/>
          <w:u w:val="single"/>
          <w:lang w:val="en-US" w:eastAsia="zh-CN"/>
        </w:rPr>
        <w:t>双方法定代表人签字</w:t>
      </w:r>
      <w:r>
        <w:rPr>
          <w:rFonts w:hint="eastAsia"/>
          <w:b/>
          <w:bCs/>
          <w:spacing w:val="8"/>
          <w:u w:val="single"/>
          <w:lang w:val="en-US" w:eastAsia="zh-CN"/>
        </w:rPr>
        <w:t>或</w:t>
      </w:r>
      <w:r>
        <w:rPr>
          <w:b/>
          <w:bCs/>
          <w:spacing w:val="8"/>
          <w:u w:val="single"/>
        </w:rPr>
        <w:t>盖章</w:t>
      </w:r>
      <w:r>
        <w:rPr>
          <w:rFonts w:hint="eastAsia"/>
          <w:b/>
          <w:bCs/>
          <w:spacing w:val="8"/>
          <w:u w:val="single"/>
          <w:lang w:val="en-US" w:eastAsia="zh-CN"/>
        </w:rPr>
        <w:t>并加盖公章</w:t>
      </w:r>
      <w:r>
        <w:rPr>
          <w:b/>
          <w:bCs/>
          <w:spacing w:val="8"/>
          <w:u w:val="single"/>
        </w:rPr>
        <w:t>后</w:t>
      </w:r>
      <w:r>
        <w:rPr>
          <w:spacing w:val="8"/>
        </w:rPr>
        <w:t>生效。本合同一式</w:t>
      </w:r>
      <w:r>
        <w:rPr>
          <w:spacing w:val="-98"/>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89"/>
        </w:rPr>
        <w:t xml:space="preserve"> </w:t>
      </w:r>
      <w:r>
        <w:rPr>
          <w:spacing w:val="8"/>
        </w:rPr>
        <w:t>份，</w:t>
      </w:r>
      <w:r>
        <w:rPr>
          <w:color w:val="auto"/>
          <w:spacing w:val="-56"/>
          <w:lang w:eastAsia="zh-CN"/>
        </w:rPr>
        <w:t xml:space="preserve"> </w:t>
      </w:r>
      <w:r>
        <w:rPr>
          <w:color w:val="auto"/>
          <w:spacing w:val="6"/>
          <w:lang w:eastAsia="zh-CN"/>
        </w:rPr>
        <w:t>甲方执</w:t>
      </w:r>
      <w:r>
        <w:rPr>
          <w:color w:val="auto"/>
          <w:spacing w:val="6"/>
          <w:u w:val="single" w:color="000000"/>
          <w:lang w:eastAsia="zh-CN"/>
        </w:rPr>
        <w:t xml:space="preserve">      </w:t>
      </w:r>
      <w:r>
        <w:rPr>
          <w:color w:val="auto"/>
          <w:spacing w:val="-92"/>
          <w:lang w:eastAsia="zh-CN"/>
        </w:rPr>
        <w:t xml:space="preserve"> </w:t>
      </w:r>
      <w:r>
        <w:rPr>
          <w:color w:val="auto"/>
          <w:spacing w:val="6"/>
          <w:lang w:eastAsia="zh-CN"/>
        </w:rPr>
        <w:t>份，乙方执</w:t>
      </w:r>
      <w:r>
        <w:rPr>
          <w:color w:val="auto"/>
          <w:spacing w:val="8"/>
          <w:u w:val="single" w:color="000000"/>
          <w:lang w:eastAsia="zh-CN"/>
        </w:rPr>
        <w:t xml:space="preserve">      </w:t>
      </w:r>
      <w:r>
        <w:rPr>
          <w:color w:val="auto"/>
          <w:spacing w:val="-87"/>
          <w:lang w:eastAsia="zh-CN"/>
        </w:rPr>
        <w:t xml:space="preserve"> </w:t>
      </w:r>
      <w:r>
        <w:rPr>
          <w:color w:val="auto"/>
          <w:spacing w:val="6"/>
          <w:lang w:eastAsia="zh-CN"/>
        </w:rPr>
        <w:t>份，</w:t>
      </w:r>
      <w:r>
        <w:rPr>
          <w:spacing w:val="8"/>
        </w:rPr>
        <w:t>均具有同等法律效力。</w:t>
      </w:r>
    </w:p>
    <w:p w14:paraId="29694230">
      <w:pPr>
        <w:pStyle w:val="7"/>
        <w:keepNext w:val="0"/>
        <w:keepLines w:val="0"/>
        <w:pageBreakBefore w:val="0"/>
        <w:widowControl/>
        <w:kinsoku w:val="0"/>
        <w:wordWrap/>
        <w:overflowPunct/>
        <w:topLinePunct w:val="0"/>
        <w:autoSpaceDE w:val="0"/>
        <w:autoSpaceDN w:val="0"/>
        <w:bidi w:val="0"/>
        <w:adjustRightInd w:val="0"/>
        <w:snapToGrid w:val="0"/>
        <w:spacing w:before="32" w:line="300" w:lineRule="auto"/>
        <w:ind w:left="0" w:right="0" w:firstLine="456" w:firstLineChars="200"/>
        <w:jc w:val="both"/>
        <w:textAlignment w:val="baseline"/>
        <w:rPr>
          <w:rFonts w:hint="default" w:eastAsia="宋体"/>
          <w:spacing w:val="9"/>
          <w:lang w:val="en-US" w:eastAsia="zh-CN"/>
        </w:rPr>
      </w:pPr>
      <w:r>
        <w:rPr>
          <w:rFonts w:hint="eastAsia"/>
          <w:spacing w:val="9"/>
          <w:lang w:val="en-US" w:eastAsia="zh-CN"/>
        </w:rPr>
        <w:t>6.补充内容：</w:t>
      </w:r>
      <w:r>
        <w:rPr>
          <w:rFonts w:hint="eastAsia"/>
          <w:spacing w:val="9"/>
          <w:u w:val="single"/>
          <w:lang w:val="en-US" w:eastAsia="zh-CN"/>
        </w:rPr>
        <w:t xml:space="preserve">         </w:t>
      </w:r>
      <w:r>
        <w:rPr>
          <w:rFonts w:hint="eastAsia"/>
          <w:spacing w:val="9"/>
          <w:lang w:val="en-US" w:eastAsia="zh-CN"/>
        </w:rPr>
        <w:t>。</w:t>
      </w:r>
    </w:p>
    <w:p w14:paraId="769CBE09">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rPr>
          <w:spacing w:val="5"/>
        </w:rPr>
      </w:pPr>
    </w:p>
    <w:p w14:paraId="367B0699">
      <w:pPr>
        <w:pStyle w:val="7"/>
        <w:keepNext w:val="0"/>
        <w:keepLines w:val="0"/>
        <w:pageBreakBefore w:val="0"/>
        <w:widowControl/>
        <w:kinsoku w:val="0"/>
        <w:wordWrap/>
        <w:overflowPunct/>
        <w:topLinePunct w:val="0"/>
        <w:autoSpaceDE w:val="0"/>
        <w:autoSpaceDN w:val="0"/>
        <w:bidi w:val="0"/>
        <w:adjustRightInd w:val="0"/>
        <w:snapToGrid w:val="0"/>
        <w:spacing w:before="115" w:line="300" w:lineRule="auto"/>
        <w:ind w:right="0"/>
        <w:jc w:val="both"/>
        <w:textAlignment w:val="baseline"/>
      </w:pPr>
      <w:r>
        <w:rPr>
          <w:spacing w:val="5"/>
        </w:rPr>
        <w:t>（以下无正文）</w:t>
      </w:r>
    </w:p>
    <w:p w14:paraId="1CA0A1F9">
      <w:pPr>
        <w:keepNext w:val="0"/>
        <w:keepLines w:val="0"/>
        <w:pageBreakBefore w:val="0"/>
        <w:widowControl/>
        <w:kinsoku w:val="0"/>
        <w:wordWrap/>
        <w:overflowPunct/>
        <w:topLinePunct w:val="0"/>
        <w:autoSpaceDE w:val="0"/>
        <w:autoSpaceDN w:val="0"/>
        <w:bidi w:val="0"/>
        <w:adjustRightInd w:val="0"/>
        <w:snapToGrid w:val="0"/>
        <w:spacing w:line="300" w:lineRule="auto"/>
        <w:ind w:left="0" w:right="0"/>
        <w:jc w:val="both"/>
        <w:textAlignment w:val="baseline"/>
        <w:rPr>
          <w:rFonts w:ascii="Arial"/>
          <w:sz w:val="21"/>
        </w:rPr>
      </w:pPr>
    </w:p>
    <w:p w14:paraId="36AE852C">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4" w:firstLineChars="200"/>
        <w:jc w:val="both"/>
        <w:textAlignment w:val="baseline"/>
        <w:rPr>
          <w:b w:val="0"/>
          <w:bCs w:val="0"/>
          <w:color w:val="3E3E3E"/>
          <w:spacing w:val="1"/>
          <w:kern w:val="0"/>
          <w:lang w:eastAsia="zh-CN"/>
        </w:rPr>
      </w:pPr>
      <w:r>
        <w:rPr>
          <w:b w:val="0"/>
          <w:bCs w:val="0"/>
          <w:color w:val="3E3E3E"/>
          <w:spacing w:val="1"/>
          <w:kern w:val="0"/>
          <w:lang w:eastAsia="zh-CN"/>
        </w:rPr>
        <w:t xml:space="preserve">甲方：（盖章）                               </w:t>
      </w:r>
      <w:r>
        <w:rPr>
          <w:rFonts w:hint="eastAsia"/>
          <w:b w:val="0"/>
          <w:bCs w:val="0"/>
          <w:color w:val="3E3E3E"/>
          <w:spacing w:val="1"/>
          <w:kern w:val="0"/>
          <w:lang w:val="en-US" w:eastAsia="zh-CN"/>
        </w:rPr>
        <w:t xml:space="preserve">   </w:t>
      </w:r>
      <w:r>
        <w:rPr>
          <w:b w:val="0"/>
          <w:bCs w:val="0"/>
          <w:color w:val="3E3E3E"/>
          <w:spacing w:val="1"/>
          <w:kern w:val="0"/>
          <w:lang w:eastAsia="zh-CN"/>
        </w:rPr>
        <w:t>乙方：（盖章）</w:t>
      </w:r>
    </w:p>
    <w:p w14:paraId="4D8E0029">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3E3E3E"/>
          <w:spacing w:val="1"/>
          <w:kern w:val="0"/>
          <w:lang w:eastAsia="zh-CN"/>
        </w:rPr>
      </w:pPr>
    </w:p>
    <w:p w14:paraId="0548F1C3">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3E3E3E"/>
          <w:spacing w:val="1"/>
          <w:kern w:val="0"/>
          <w:lang w:eastAsia="zh-CN"/>
        </w:rPr>
      </w:pPr>
    </w:p>
    <w:p w14:paraId="5D6D17AC">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firstLine="424" w:firstLineChars="200"/>
        <w:jc w:val="both"/>
        <w:textAlignment w:val="baseline"/>
        <w:rPr>
          <w:b w:val="0"/>
          <w:bCs w:val="0"/>
          <w:color w:val="3E3E3E"/>
          <w:spacing w:val="1"/>
          <w:kern w:val="0"/>
          <w:lang w:eastAsia="zh-CN"/>
        </w:rPr>
      </w:pPr>
      <w:r>
        <w:rPr>
          <w:b w:val="0"/>
          <w:bCs w:val="0"/>
          <w:color w:val="3E3E3E"/>
          <w:spacing w:val="1"/>
          <w:kern w:val="0"/>
          <w:lang w:eastAsia="zh-CN"/>
        </w:rPr>
        <w:t>法定代表人：（</w:t>
      </w:r>
      <w:r>
        <w:rPr>
          <w:rFonts w:hint="eastAsia"/>
          <w:b w:val="0"/>
          <w:bCs w:val="0"/>
          <w:color w:val="3E3E3E"/>
          <w:spacing w:val="1"/>
          <w:kern w:val="0"/>
          <w:lang w:val="en-US" w:eastAsia="zh-CN"/>
        </w:rPr>
        <w:t>签字/</w:t>
      </w:r>
      <w:r>
        <w:rPr>
          <w:b w:val="0"/>
          <w:bCs w:val="0"/>
          <w:color w:val="3E3E3E"/>
          <w:spacing w:val="1"/>
          <w:kern w:val="0"/>
          <w:lang w:eastAsia="zh-CN"/>
        </w:rPr>
        <w:t xml:space="preserve">盖章）                    </w:t>
      </w:r>
      <w:r>
        <w:rPr>
          <w:rFonts w:hint="eastAsia"/>
          <w:b w:val="0"/>
          <w:bCs w:val="0"/>
          <w:color w:val="3E3E3E"/>
          <w:spacing w:val="1"/>
          <w:kern w:val="0"/>
          <w:lang w:val="en-US" w:eastAsia="zh-CN"/>
        </w:rPr>
        <w:t xml:space="preserve">   </w:t>
      </w:r>
      <w:r>
        <w:rPr>
          <w:b w:val="0"/>
          <w:bCs w:val="0"/>
          <w:color w:val="3E3E3E"/>
          <w:spacing w:val="1"/>
          <w:kern w:val="0"/>
          <w:lang w:eastAsia="zh-CN"/>
        </w:rPr>
        <w:t>法定代表人：（</w:t>
      </w:r>
      <w:r>
        <w:rPr>
          <w:rFonts w:hint="eastAsia"/>
          <w:b w:val="0"/>
          <w:bCs w:val="0"/>
          <w:color w:val="3E3E3E"/>
          <w:spacing w:val="1"/>
          <w:kern w:val="0"/>
          <w:lang w:val="en-US" w:eastAsia="zh-CN"/>
        </w:rPr>
        <w:t>签字/</w:t>
      </w:r>
      <w:r>
        <w:rPr>
          <w:b w:val="0"/>
          <w:bCs w:val="0"/>
          <w:color w:val="3E3E3E"/>
          <w:spacing w:val="1"/>
          <w:kern w:val="0"/>
          <w:lang w:eastAsia="zh-CN"/>
        </w:rPr>
        <w:t>盖章）</w:t>
      </w:r>
    </w:p>
    <w:p w14:paraId="28B0E908">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3E3E3E"/>
          <w:spacing w:val="1"/>
          <w:kern w:val="0"/>
          <w:lang w:eastAsia="zh-CN"/>
        </w:rPr>
      </w:pPr>
    </w:p>
    <w:p w14:paraId="27F04329">
      <w:pPr>
        <w:pStyle w:val="7"/>
        <w:keepNext w:val="0"/>
        <w:keepLines w:val="0"/>
        <w:pageBreakBefore w:val="0"/>
        <w:widowControl/>
        <w:kinsoku w:val="0"/>
        <w:wordWrap/>
        <w:overflowPunct/>
        <w:topLinePunct w:val="0"/>
        <w:autoSpaceDE w:val="0"/>
        <w:autoSpaceDN w:val="0"/>
        <w:bidi w:val="0"/>
        <w:adjustRightInd w:val="0"/>
        <w:snapToGrid w:val="0"/>
        <w:spacing w:before="65" w:line="300" w:lineRule="auto"/>
        <w:ind w:left="0" w:right="0"/>
        <w:jc w:val="both"/>
        <w:textAlignment w:val="baseline"/>
        <w:rPr>
          <w:b w:val="0"/>
          <w:bCs w:val="0"/>
          <w:color w:val="3E3E3E"/>
          <w:spacing w:val="1"/>
          <w:kern w:val="0"/>
          <w:lang w:eastAsia="zh-CN"/>
        </w:rPr>
      </w:pPr>
    </w:p>
    <w:p w14:paraId="1D41BA37">
      <w:pPr>
        <w:pStyle w:val="7"/>
        <w:keepNext w:val="0"/>
        <w:keepLines w:val="0"/>
        <w:pageBreakBefore w:val="0"/>
        <w:widowControl/>
        <w:kinsoku w:val="0"/>
        <w:wordWrap/>
        <w:overflowPunct/>
        <w:topLinePunct w:val="0"/>
        <w:autoSpaceDE w:val="0"/>
        <w:autoSpaceDN w:val="0"/>
        <w:bidi w:val="0"/>
        <w:adjustRightInd w:val="0"/>
        <w:snapToGrid w:val="0"/>
        <w:spacing w:line="300" w:lineRule="auto"/>
        <w:ind w:firstLine="400" w:firstLineChars="200"/>
        <w:jc w:val="both"/>
        <w:textAlignment w:val="baseline"/>
        <w:rPr>
          <w:rFonts w:hint="default" w:ascii="宋体" w:hAnsi="宋体" w:eastAsia="宋体" w:cs="宋体"/>
          <w:b w:val="0"/>
          <w:bCs w:val="0"/>
          <w:sz w:val="20"/>
          <w:szCs w:val="20"/>
          <w:lang w:val="en-US" w:eastAsia="zh-CN"/>
        </w:rPr>
      </w:pPr>
      <w:r>
        <w:rPr>
          <w:rFonts w:hint="eastAsia" w:cs="宋体"/>
          <w:b w:val="0"/>
          <w:bCs w:val="0"/>
          <w:sz w:val="20"/>
          <w:szCs w:val="20"/>
          <w:lang w:val="en-US" w:eastAsia="zh-CN"/>
        </w:rPr>
        <w:t>电话：                                           电话：</w:t>
      </w:r>
    </w:p>
    <w:p w14:paraId="382DC858">
      <w:pPr>
        <w:pStyle w:val="23"/>
        <w:spacing w:line="440" w:lineRule="atLeast"/>
        <w:ind w:left="0" w:leftChars="0" w:firstLine="0" w:firstLineChars="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14:paraId="5F6A990D">
      <w:pPr>
        <w:pStyle w:val="10"/>
        <w:snapToGrid w:val="0"/>
        <w:spacing w:beforeLines="0" w:afterLines="0"/>
        <w:ind w:firstLine="420" w:firstLineChars="200"/>
        <w:rPr>
          <w:rFonts w:hAnsi="宋体" w:cs="Times New Roman"/>
          <w:color w:val="000000" w:themeColor="text1"/>
          <w:sz w:val="21"/>
          <w:szCs w:val="21"/>
          <w14:textFill>
            <w14:solidFill>
              <w14:schemeClr w14:val="tx1"/>
            </w14:solidFill>
          </w14:textFill>
        </w:rPr>
      </w:pPr>
    </w:p>
    <w:p w14:paraId="26FD9D71">
      <w:pPr>
        <w:pStyle w:val="10"/>
        <w:snapToGrid w:val="0"/>
        <w:spacing w:beforeLines="0" w:afterLines="0"/>
        <w:outlineLvl w:val="0"/>
        <w:rPr>
          <w:rFonts w:ascii="黑体" w:hAnsi="宋体" w:eastAsia="黑体"/>
          <w:b/>
          <w:bCs/>
          <w:color w:val="000000" w:themeColor="text1"/>
          <w:sz w:val="28"/>
          <w:szCs w:val="28"/>
          <w14:textFill>
            <w14:solidFill>
              <w14:schemeClr w14:val="tx1"/>
            </w14:solidFill>
          </w14:textFill>
        </w:rPr>
      </w:pPr>
    </w:p>
    <w:p w14:paraId="07167AC9">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bookmarkStart w:id="651" w:name="_Toc34814381"/>
      <w:bookmarkStart w:id="652" w:name="_Toc27986432"/>
      <w:r>
        <w:rPr>
          <w:rFonts w:hint="eastAsia" w:ascii="宋体" w:hAnsi="宋体"/>
          <w:b w:val="0"/>
          <w:bCs w:val="0"/>
          <w:color w:val="000000" w:themeColor="text1"/>
          <w:sz w:val="32"/>
          <w:lang w:val="en-US" w:eastAsia="zh-CN"/>
          <w14:textFill>
            <w14:solidFill>
              <w14:schemeClr w14:val="tx1"/>
            </w14:solidFill>
          </w14:textFill>
        </w:rPr>
        <w:t xml:space="preserve">                         </w:t>
      </w:r>
    </w:p>
    <w:p w14:paraId="19C8930C">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1238753D">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32681C6D">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5844C44F">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622C0C4B">
      <w:pPr>
        <w:pStyle w:val="2"/>
        <w:spacing w:before="120" w:after="120" w:line="400" w:lineRule="exact"/>
        <w:rPr>
          <w:rFonts w:hint="eastAsia" w:ascii="宋体" w:hAnsi="宋体"/>
          <w:b w:val="0"/>
          <w:bCs w:val="0"/>
          <w:color w:val="000000" w:themeColor="text1"/>
          <w:sz w:val="32"/>
          <w:lang w:val="en-US" w:eastAsia="zh-CN"/>
          <w14:textFill>
            <w14:solidFill>
              <w14:schemeClr w14:val="tx1"/>
            </w14:solidFill>
          </w14:textFill>
        </w:rPr>
      </w:pPr>
    </w:p>
    <w:p w14:paraId="1F4F3F90">
      <w:pPr>
        <w:pStyle w:val="2"/>
        <w:spacing w:before="120" w:after="120" w:line="400" w:lineRule="exact"/>
        <w:ind w:firstLine="4160" w:firstLineChars="1300"/>
        <w:rPr>
          <w:rFonts w:hint="eastAsia" w:ascii="宋体" w:hAnsi="宋体"/>
          <w:b w:val="0"/>
          <w:bCs w:val="0"/>
          <w:color w:val="000000" w:themeColor="text1"/>
          <w:sz w:val="32"/>
          <w14:textFill>
            <w14:solidFill>
              <w14:schemeClr w14:val="tx1"/>
            </w14:solidFill>
          </w14:textFill>
        </w:rPr>
      </w:pPr>
    </w:p>
    <w:p w14:paraId="7601654A">
      <w:pPr>
        <w:pStyle w:val="2"/>
        <w:spacing w:before="120" w:after="120" w:line="400" w:lineRule="exact"/>
        <w:ind w:firstLine="4160" w:firstLineChars="1300"/>
        <w:rPr>
          <w:rFonts w:hint="eastAsia" w:ascii="宋体" w:hAnsi="宋体"/>
          <w:b w:val="0"/>
          <w:bCs w:val="0"/>
          <w:color w:val="000000" w:themeColor="text1"/>
          <w:sz w:val="32"/>
          <w14:textFill>
            <w14:solidFill>
              <w14:schemeClr w14:val="tx1"/>
            </w14:solidFill>
          </w14:textFill>
        </w:rPr>
      </w:pPr>
    </w:p>
    <w:p w14:paraId="0EE86988">
      <w:pPr>
        <w:pStyle w:val="2"/>
        <w:spacing w:before="120" w:after="120" w:line="400" w:lineRule="exact"/>
        <w:ind w:firstLine="4160" w:firstLineChars="1300"/>
        <w:rPr>
          <w:rFonts w:ascii="宋体" w:hAnsi="宋体"/>
          <w:b w:val="0"/>
          <w:bCs w:val="0"/>
          <w:color w:val="000000" w:themeColor="text1"/>
          <w:sz w:val="32"/>
          <w14:textFill>
            <w14:solidFill>
              <w14:schemeClr w14:val="tx1"/>
            </w14:solidFill>
          </w14:textFill>
        </w:rPr>
      </w:pPr>
      <w:bookmarkStart w:id="653" w:name="_Toc9897"/>
      <w:bookmarkStart w:id="654" w:name="_Toc149206347"/>
      <w:r>
        <w:rPr>
          <w:rFonts w:hint="eastAsia" w:ascii="宋体" w:hAnsi="宋体"/>
          <w:b w:val="0"/>
          <w:bCs w:val="0"/>
          <w:color w:val="000000" w:themeColor="text1"/>
          <w:sz w:val="32"/>
          <w14:textFill>
            <w14:solidFill>
              <w14:schemeClr w14:val="tx1"/>
            </w14:solidFill>
          </w14:textFill>
        </w:rPr>
        <w:t>第二卷</w:t>
      </w:r>
      <w:bookmarkEnd w:id="651"/>
      <w:bookmarkEnd w:id="652"/>
      <w:bookmarkEnd w:id="653"/>
      <w:bookmarkEnd w:id="654"/>
    </w:p>
    <w:p w14:paraId="00373E4B">
      <w:pPr>
        <w:pStyle w:val="2"/>
        <w:numPr>
          <w:ilvl w:val="0"/>
          <w:numId w:val="1"/>
        </w:numPr>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bookmarkStart w:id="655" w:name="_Toc144974834"/>
      <w:bookmarkStart w:id="656" w:name="_Toc149206348"/>
      <w:bookmarkStart w:id="657" w:name="_Toc27986433"/>
      <w:bookmarkStart w:id="658" w:name="_Toc152042554"/>
      <w:bookmarkStart w:id="659" w:name="_Toc34814382"/>
      <w:bookmarkStart w:id="660" w:name="_Toc152045772"/>
      <w:bookmarkStart w:id="661" w:name="_Toc144974851"/>
      <w:bookmarkStart w:id="662" w:name="_Toc152042571"/>
      <w:bookmarkStart w:id="663" w:name="_Toc152045782"/>
      <w:r>
        <w:rPr>
          <w:rFonts w:hint="eastAsia" w:ascii="宋体" w:hAnsi="宋体"/>
          <w:b w:val="0"/>
          <w:bCs w:val="0"/>
          <w:color w:val="000000" w:themeColor="text1"/>
          <w:sz w:val="32"/>
          <w14:textFill>
            <w14:solidFill>
              <w14:schemeClr w14:val="tx1"/>
            </w14:solidFill>
          </w14:textFill>
        </w:rPr>
        <w:t xml:space="preserve"> </w:t>
      </w:r>
      <w:bookmarkStart w:id="664" w:name="_Toc2795"/>
      <w:r>
        <w:rPr>
          <w:rFonts w:hint="eastAsia" w:ascii="宋体" w:hAnsi="宋体"/>
          <w:b w:val="0"/>
          <w:bCs w:val="0"/>
          <w:color w:val="000000" w:themeColor="text1"/>
          <w:sz w:val="32"/>
          <w14:textFill>
            <w14:solidFill>
              <w14:schemeClr w14:val="tx1"/>
            </w14:solidFill>
          </w14:textFill>
        </w:rPr>
        <w:t>招标工程量清单</w:t>
      </w:r>
      <w:bookmarkEnd w:id="655"/>
      <w:bookmarkEnd w:id="656"/>
      <w:bookmarkEnd w:id="657"/>
      <w:bookmarkEnd w:id="658"/>
      <w:bookmarkEnd w:id="659"/>
      <w:bookmarkEnd w:id="660"/>
      <w:bookmarkEnd w:id="664"/>
    </w:p>
    <w:p w14:paraId="22204549">
      <w:pPr>
        <w:widowControl w:val="0"/>
        <w:numPr>
          <w:ilvl w:val="0"/>
          <w:numId w:val="0"/>
        </w:numPr>
        <w:jc w:val="both"/>
        <w:rPr>
          <w:rFonts w:hint="eastAsia"/>
        </w:rPr>
      </w:pPr>
    </w:p>
    <w:p w14:paraId="15EF4B77">
      <w:pPr>
        <w:widowControl w:val="0"/>
        <w:numPr>
          <w:ilvl w:val="0"/>
          <w:numId w:val="0"/>
        </w:numPr>
        <w:jc w:val="both"/>
        <w:rPr>
          <w:rFonts w:hint="eastAsia"/>
        </w:rPr>
      </w:pPr>
    </w:p>
    <w:p w14:paraId="01B5B14F">
      <w:pPr>
        <w:widowControl w:val="0"/>
        <w:numPr>
          <w:ilvl w:val="0"/>
          <w:numId w:val="0"/>
        </w:numPr>
        <w:jc w:val="both"/>
        <w:rPr>
          <w:rFonts w:hint="eastAsia"/>
        </w:rPr>
      </w:pPr>
    </w:p>
    <w:p w14:paraId="33781245">
      <w:pPr>
        <w:widowControl w:val="0"/>
        <w:numPr>
          <w:ilvl w:val="0"/>
          <w:numId w:val="0"/>
        </w:numPr>
        <w:ind w:firstLine="420" w:firstLineChars="200"/>
        <w:jc w:val="both"/>
        <w:rPr>
          <w:rFonts w:hint="default" w:eastAsia="宋体"/>
          <w:lang w:val="en-US" w:eastAsia="zh-CN"/>
        </w:rPr>
      </w:pPr>
      <w:r>
        <w:rPr>
          <w:rFonts w:hint="eastAsia"/>
          <w:lang w:val="en-US" w:eastAsia="zh-CN"/>
        </w:rPr>
        <w:t>本工程混凝土主要用于11座管桥，分别是滨海大道西段（滨阳路）段1座，滨海大道东段（机场大道）段4座，金海三道段（滨海十八路-通海大道）6座。用于沉井34座，分别是金海三道段27座，滨海十八路段7座，包括现浇阀门井，预计混凝土方量11000m³。</w:t>
      </w:r>
    </w:p>
    <w:p w14:paraId="12FD34F4">
      <w:pPr>
        <w:widowControl w:val="0"/>
        <w:numPr>
          <w:ilvl w:val="0"/>
          <w:numId w:val="0"/>
        </w:numPr>
        <w:jc w:val="both"/>
        <w:rPr>
          <w:rFonts w:hint="eastAsia"/>
        </w:rPr>
      </w:pPr>
    </w:p>
    <w:p w14:paraId="1D7BB650">
      <w:pPr>
        <w:pStyle w:val="2"/>
        <w:spacing w:before="120" w:after="120" w:line="400" w:lineRule="exact"/>
        <w:jc w:val="center"/>
        <w:rPr>
          <w:rFonts w:hint="default" w:ascii="宋体" w:hAnsi="宋体"/>
          <w:color w:val="000000" w:themeColor="text1"/>
          <w:lang w:val="en-US" w:eastAsia="zh-CN"/>
          <w14:textFill>
            <w14:solidFill>
              <w14:schemeClr w14:val="tx1"/>
            </w14:solidFill>
          </w14:textFill>
        </w:rPr>
      </w:pPr>
    </w:p>
    <w:p w14:paraId="2DCD9149">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65" w:name="_Toc149206349"/>
      <w:r>
        <w:rPr>
          <w:rFonts w:ascii="宋体" w:hAnsi="宋体"/>
          <w:color w:val="000000" w:themeColor="text1"/>
          <w14:textFill>
            <w14:solidFill>
              <w14:schemeClr w14:val="tx1"/>
            </w14:solidFill>
          </w14:textFill>
        </w:rPr>
        <w:br w:type="page"/>
      </w:r>
      <w:bookmarkStart w:id="666" w:name="_Toc3752"/>
      <w:bookmarkStart w:id="667" w:name="_Toc34814386"/>
      <w:bookmarkStart w:id="668" w:name="_Toc149206350"/>
      <w:bookmarkStart w:id="669" w:name="_Toc27986437"/>
      <w:r>
        <w:rPr>
          <w:rFonts w:hint="eastAsia" w:ascii="宋体" w:hAnsi="宋体"/>
          <w:b w:val="0"/>
          <w:bCs w:val="0"/>
          <w:color w:val="000000" w:themeColor="text1"/>
          <w:sz w:val="32"/>
          <w14:textFill>
            <w14:solidFill>
              <w14:schemeClr w14:val="tx1"/>
            </w14:solidFill>
          </w14:textFill>
        </w:rPr>
        <w:t>第六章  图  纸</w:t>
      </w:r>
      <w:bookmarkEnd w:id="661"/>
      <w:bookmarkEnd w:id="662"/>
      <w:bookmarkEnd w:id="663"/>
      <w:bookmarkEnd w:id="665"/>
      <w:bookmarkEnd w:id="666"/>
      <w:bookmarkEnd w:id="667"/>
      <w:bookmarkEnd w:id="668"/>
      <w:bookmarkEnd w:id="669"/>
    </w:p>
    <w:p w14:paraId="4BADE1D6">
      <w:pPr>
        <w:spacing w:line="400" w:lineRule="exact"/>
        <w:rPr>
          <w:rFonts w:ascii="宋体" w:hAnsi="宋体"/>
          <w:color w:val="000000" w:themeColor="text1"/>
          <w14:textFill>
            <w14:solidFill>
              <w14:schemeClr w14:val="tx1"/>
            </w14:solidFill>
          </w14:textFill>
        </w:rPr>
      </w:pPr>
    </w:p>
    <w:p w14:paraId="4FCEEDF5">
      <w:pPr>
        <w:spacing w:line="400" w:lineRule="exact"/>
        <w:rPr>
          <w:rFonts w:ascii="宋体" w:hAnsi="宋体"/>
          <w:color w:val="000000" w:themeColor="text1"/>
          <w14:textFill>
            <w14:solidFill>
              <w14:schemeClr w14:val="tx1"/>
            </w14:solidFill>
          </w14:textFill>
        </w:rPr>
      </w:pPr>
    </w:p>
    <w:p w14:paraId="55EC0552">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 w:val="32"/>
          <w:szCs w:val="40"/>
          <w:lang w:val="en-US" w:eastAsia="zh-CN"/>
          <w14:textFill>
            <w14:solidFill>
              <w14:schemeClr w14:val="tx1"/>
            </w14:solidFill>
          </w14:textFill>
        </w:rPr>
        <w:t>无</w:t>
      </w:r>
      <w:r>
        <w:rPr>
          <w:rFonts w:ascii="宋体" w:hAnsi="宋体"/>
          <w:color w:val="000000" w:themeColor="text1"/>
          <w14:textFill>
            <w14:solidFill>
              <w14:schemeClr w14:val="tx1"/>
            </w14:solidFill>
          </w14:textFill>
        </w:rPr>
        <w:br w:type="page"/>
      </w:r>
    </w:p>
    <w:p w14:paraId="05EAA233">
      <w:pPr>
        <w:spacing w:line="400" w:lineRule="exact"/>
        <w:rPr>
          <w:rFonts w:hint="eastAsia" w:ascii="宋体" w:hAnsi="宋体"/>
          <w:color w:val="000000" w:themeColor="text1"/>
          <w14:textFill>
            <w14:solidFill>
              <w14:schemeClr w14:val="tx1"/>
            </w14:solidFill>
          </w14:textFill>
        </w:rPr>
      </w:pPr>
    </w:p>
    <w:p w14:paraId="11C0600E">
      <w:pPr>
        <w:spacing w:line="400" w:lineRule="exact"/>
        <w:rPr>
          <w:rFonts w:hint="eastAsia" w:ascii="宋体" w:hAnsi="宋体"/>
          <w:color w:val="000000" w:themeColor="text1"/>
          <w14:textFill>
            <w14:solidFill>
              <w14:schemeClr w14:val="tx1"/>
            </w14:solidFill>
          </w14:textFill>
        </w:rPr>
      </w:pPr>
    </w:p>
    <w:p w14:paraId="7FD3B21B">
      <w:pPr>
        <w:spacing w:line="400" w:lineRule="exact"/>
        <w:rPr>
          <w:rFonts w:hint="eastAsia" w:ascii="宋体" w:hAnsi="宋体"/>
          <w:color w:val="000000" w:themeColor="text1"/>
          <w14:textFill>
            <w14:solidFill>
              <w14:schemeClr w14:val="tx1"/>
            </w14:solidFill>
          </w14:textFill>
        </w:rPr>
      </w:pPr>
    </w:p>
    <w:p w14:paraId="73C3ED70">
      <w:pPr>
        <w:spacing w:line="400" w:lineRule="exact"/>
        <w:rPr>
          <w:rFonts w:hint="eastAsia" w:ascii="宋体" w:hAnsi="宋体"/>
          <w:color w:val="000000" w:themeColor="text1"/>
          <w14:textFill>
            <w14:solidFill>
              <w14:schemeClr w14:val="tx1"/>
            </w14:solidFill>
          </w14:textFill>
        </w:rPr>
      </w:pPr>
    </w:p>
    <w:p w14:paraId="68C0ECC8">
      <w:pPr>
        <w:spacing w:line="400" w:lineRule="exact"/>
        <w:jc w:val="center"/>
        <w:rPr>
          <w:rFonts w:hint="eastAsia" w:ascii="宋体" w:hAnsi="宋体"/>
          <w:color w:val="000000" w:themeColor="text1"/>
          <w14:textFill>
            <w14:solidFill>
              <w14:schemeClr w14:val="tx1"/>
            </w14:solidFill>
          </w14:textFill>
        </w:rPr>
      </w:pPr>
    </w:p>
    <w:p w14:paraId="75A549AC">
      <w:pPr>
        <w:spacing w:line="400" w:lineRule="exact"/>
        <w:jc w:val="center"/>
        <w:rPr>
          <w:rFonts w:hint="eastAsia" w:ascii="宋体" w:hAnsi="宋体"/>
          <w:color w:val="000000" w:themeColor="text1"/>
          <w14:textFill>
            <w14:solidFill>
              <w14:schemeClr w14:val="tx1"/>
            </w14:solidFill>
          </w14:textFill>
        </w:rPr>
      </w:pPr>
    </w:p>
    <w:p w14:paraId="63CDD383">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70" w:name="_Toc27986438"/>
      <w:bookmarkStart w:id="671" w:name="_Toc34814387"/>
      <w:bookmarkStart w:id="672" w:name="_Toc149206351"/>
      <w:bookmarkStart w:id="673" w:name="_Toc26578"/>
      <w:r>
        <w:rPr>
          <w:rFonts w:hint="eastAsia" w:ascii="宋体" w:hAnsi="宋体"/>
          <w:b w:val="0"/>
          <w:bCs w:val="0"/>
          <w:color w:val="000000" w:themeColor="text1"/>
          <w:sz w:val="32"/>
          <w14:textFill>
            <w14:solidFill>
              <w14:schemeClr w14:val="tx1"/>
            </w14:solidFill>
          </w14:textFill>
        </w:rPr>
        <w:t>第三卷</w:t>
      </w:r>
      <w:bookmarkEnd w:id="670"/>
      <w:bookmarkEnd w:id="671"/>
      <w:bookmarkEnd w:id="672"/>
      <w:bookmarkEnd w:id="673"/>
    </w:p>
    <w:p w14:paraId="0AFB4841">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74" w:name="_Toc152042574"/>
      <w:bookmarkStart w:id="675" w:name="_Toc144974854"/>
      <w:bookmarkStart w:id="676" w:name="_Toc152045785"/>
      <w:r>
        <w:rPr>
          <w:rFonts w:ascii="宋体" w:hAnsi="宋体"/>
          <w:color w:val="000000" w:themeColor="text1"/>
          <w14:textFill>
            <w14:solidFill>
              <w14:schemeClr w14:val="tx1"/>
            </w14:solidFill>
          </w14:textFill>
        </w:rPr>
        <w:br w:type="page"/>
      </w:r>
      <w:bookmarkStart w:id="677" w:name="_Toc3423"/>
      <w:bookmarkStart w:id="678" w:name="_Toc27986439"/>
      <w:bookmarkStart w:id="679" w:name="_Toc149206352"/>
      <w:bookmarkStart w:id="680" w:name="_Toc34814388"/>
      <w:r>
        <w:rPr>
          <w:rFonts w:hint="eastAsia" w:ascii="宋体" w:hAnsi="宋体"/>
          <w:b w:val="0"/>
          <w:bCs w:val="0"/>
          <w:color w:val="000000" w:themeColor="text1"/>
          <w:sz w:val="32"/>
          <w14:textFill>
            <w14:solidFill>
              <w14:schemeClr w14:val="tx1"/>
            </w14:solidFill>
          </w14:textFill>
        </w:rPr>
        <w:t>第七章  技术标准和要求</w:t>
      </w:r>
      <w:bookmarkEnd w:id="674"/>
      <w:bookmarkEnd w:id="675"/>
      <w:bookmarkEnd w:id="676"/>
      <w:bookmarkEnd w:id="677"/>
      <w:bookmarkEnd w:id="678"/>
      <w:bookmarkEnd w:id="679"/>
      <w:bookmarkEnd w:id="680"/>
    </w:p>
    <w:p w14:paraId="7345233B">
      <w:pPr>
        <w:pStyle w:val="12"/>
        <w:pBdr>
          <w:bottom w:val="none" w:color="auto" w:sz="0" w:space="0"/>
        </w:pBdr>
        <w:rPr>
          <w:rFonts w:ascii="宋体" w:hAnsi="宋体"/>
          <w:color w:val="000000" w:themeColor="text1"/>
          <w14:textFill>
            <w14:solidFill>
              <w14:schemeClr w14:val="tx1"/>
            </w14:solidFill>
          </w14:textFill>
        </w:rPr>
      </w:pPr>
    </w:p>
    <w:p w14:paraId="66BF31CE">
      <w:pPr>
        <w:pStyle w:val="12"/>
        <w:pBdr>
          <w:bottom w:val="none" w:color="auto" w:sz="0" w:space="0"/>
        </w:pBdr>
        <w:rPr>
          <w:rFonts w:ascii="宋体" w:hAnsi="宋体"/>
          <w:color w:val="000000" w:themeColor="text1"/>
          <w14:textFill>
            <w14:solidFill>
              <w14:schemeClr w14:val="tx1"/>
            </w14:solidFill>
          </w14:textFill>
        </w:rPr>
      </w:pPr>
    </w:p>
    <w:p w14:paraId="50493EEB">
      <w:pPr>
        <w:spacing w:line="312"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特别声明：投标人提供的设备必须至少符合以下技术要求、设计图纸、工程量清单要求，如中标后发现提供设备未达到要求的，招标人有权要求更换设备，同时费用不予增加，如不响应招标人要求的，招标人有权解除合同并要求中标单位对造成的损失进行赔偿。如招标文件中技术参数与设计图纸有出入以设计图纸为准。</w:t>
      </w:r>
    </w:p>
    <w:p w14:paraId="7AF8676F">
      <w:pPr>
        <w:spacing w:line="360" w:lineRule="auto"/>
        <w:ind w:firstLine="420" w:firstLineChars="200"/>
        <w:rPr>
          <w:rFonts w:ascii="宋体" w:hAnsi="宋体" w:cs="宋体"/>
          <w:color w:val="000000" w:themeColor="text1"/>
          <w:kern w:val="0"/>
          <w:szCs w:val="21"/>
          <w14:textFill>
            <w14:solidFill>
              <w14:schemeClr w14:val="tx1"/>
            </w14:solidFill>
          </w14:textFill>
        </w:rPr>
      </w:pPr>
      <w:bookmarkStart w:id="681" w:name="_Toc34814398"/>
      <w:bookmarkStart w:id="682" w:name="_Toc27986440"/>
      <w:bookmarkStart w:id="683" w:name="_Toc144974855"/>
      <w:bookmarkStart w:id="684" w:name="_Toc152045786"/>
      <w:bookmarkStart w:id="685" w:name="_Toc152042575"/>
      <w:r>
        <w:rPr>
          <w:rFonts w:hint="eastAsia" w:ascii="宋体" w:hAnsi="宋体" w:cs="宋体"/>
          <w:color w:val="000000" w:themeColor="text1"/>
          <w:kern w:val="0"/>
          <w:szCs w:val="21"/>
          <w14:textFill>
            <w14:solidFill>
              <w14:schemeClr w14:val="tx1"/>
            </w14:solidFill>
          </w14:textFill>
        </w:rPr>
        <w:t>提供的材料必须符合如下标准要求：</w:t>
      </w:r>
    </w:p>
    <w:p w14:paraId="7E84609A">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.1符合相关材料的国家标准及行业标准，如国家有新的标准出台，则应符合国家所颁发的最新版本的质量和技术要求；</w:t>
      </w:r>
    </w:p>
    <w:p w14:paraId="7B1D9877">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.2如无规范标准的则按照</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的质量要求执行；</w:t>
      </w:r>
    </w:p>
    <w:p w14:paraId="29C7DDA7">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.3如发现到场材料有质量问题，</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可拒绝签收并要求中标人清退不合格材料。如使用后发现问题，造成工程返工等的一切损失由中标人承担，</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有权视损害情况自行启动扣除履约保证金，如损害情况估算价值超过2000元的，</w:t>
      </w:r>
      <w:r>
        <w:rPr>
          <w:rFonts w:hint="eastAsia" w:ascii="宋体" w:hAnsi="宋体" w:cs="宋体"/>
          <w:color w:val="000000" w:themeColor="text1"/>
          <w:kern w:val="0"/>
          <w:szCs w:val="21"/>
          <w:lang w:eastAsia="zh-CN"/>
          <w14:textFill>
            <w14:solidFill>
              <w14:schemeClr w14:val="tx1"/>
            </w14:solidFill>
          </w14:textFill>
        </w:rPr>
        <w:t>招标人</w:t>
      </w:r>
      <w:r>
        <w:rPr>
          <w:rFonts w:hint="eastAsia" w:ascii="宋体" w:hAnsi="宋体" w:cs="宋体"/>
          <w:color w:val="000000" w:themeColor="text1"/>
          <w:kern w:val="0"/>
          <w:szCs w:val="21"/>
          <w14:textFill>
            <w14:solidFill>
              <w14:schemeClr w14:val="tx1"/>
            </w14:solidFill>
          </w14:textFill>
        </w:rPr>
        <w:t>将聘请第三方作出损害评估后行使追偿权力，如履约保证金足够赔偿则可优先扣除履约保证金。</w:t>
      </w:r>
    </w:p>
    <w:p w14:paraId="4DAC1A4C">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1.4</w:t>
      </w:r>
      <w:r>
        <w:rPr>
          <w:rFonts w:hint="eastAsia" w:ascii="宋体" w:hAnsi="宋体" w:cs="宋体"/>
          <w:color w:val="000000" w:themeColor="text1"/>
          <w:kern w:val="0"/>
          <w:szCs w:val="21"/>
          <w:shd w:val="clear" w:color="auto" w:fill="FFFFFF"/>
          <w14:textFill>
            <w14:solidFill>
              <w14:schemeClr w14:val="tx1"/>
            </w14:solidFill>
          </w14:textFill>
        </w:rPr>
        <w:t>、本次招标的建筑材料主要用于</w:t>
      </w:r>
      <w:r>
        <w:rPr>
          <w:rFonts w:hint="eastAsia" w:ascii="宋体" w:hAnsi="宋体" w:cs="宋体"/>
          <w:color w:val="000000" w:themeColor="text1"/>
          <w:kern w:val="0"/>
          <w:szCs w:val="21"/>
          <w:shd w:val="clear" w:color="auto" w:fill="FFFFFF"/>
          <w:lang w:val="en-US" w:eastAsia="zh-CN"/>
          <w14:textFill>
            <w14:solidFill>
              <w14:schemeClr w14:val="tx1"/>
            </w14:solidFill>
          </w14:textFill>
        </w:rPr>
        <w:t>市政</w:t>
      </w:r>
      <w:r>
        <w:rPr>
          <w:rFonts w:hint="eastAsia" w:ascii="宋体" w:hAnsi="宋体" w:cs="宋体"/>
          <w:color w:val="000000" w:themeColor="text1"/>
          <w:kern w:val="0"/>
          <w:szCs w:val="21"/>
          <w:shd w:val="clear" w:color="auto" w:fill="FFFFFF"/>
          <w14:textFill>
            <w14:solidFill>
              <w14:schemeClr w14:val="tx1"/>
            </w14:solidFill>
          </w14:textFill>
        </w:rPr>
        <w:t>工程施工，在实施过程中可能因工程的不同需对材料的配比等作出调整，供应商需在投标文件中承诺无条件响应</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对材料规格的调整。因规格调整产生的相关费用由中标人承担，</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不另行追加。</w:t>
      </w:r>
    </w:p>
    <w:p w14:paraId="0C06D36B">
      <w:pPr>
        <w:spacing w:line="360" w:lineRule="auto"/>
        <w:ind w:firstLine="420" w:firstLineChars="200"/>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kern w:val="0"/>
          <w:szCs w:val="21"/>
          <w:shd w:val="clear" w:color="auto" w:fill="FFFFFF"/>
          <w:lang w:val="en-US" w:eastAsia="zh-CN"/>
          <w14:textFill>
            <w14:solidFill>
              <w14:schemeClr w14:val="tx1"/>
            </w14:solidFill>
          </w14:textFill>
        </w:rPr>
        <w:t>1.5</w:t>
      </w:r>
      <w:r>
        <w:rPr>
          <w:rFonts w:hint="eastAsia" w:ascii="宋体" w:hAnsi="宋体" w:cs="宋体"/>
          <w:color w:val="000000" w:themeColor="text1"/>
          <w:kern w:val="0"/>
          <w:szCs w:val="21"/>
          <w:shd w:val="clear" w:color="auto" w:fill="FFFFFF"/>
          <w14:textFill>
            <w14:solidFill>
              <w14:schemeClr w14:val="tx1"/>
            </w14:solidFill>
          </w14:textFill>
        </w:rPr>
        <w:t>、在供货时，如发现中标人未按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要求地点送达，产生二次转运费用的，由中标人承担转运费用，并支付供货金额5%的违约金。</w:t>
      </w:r>
    </w:p>
    <w:p w14:paraId="7432E269">
      <w:pPr>
        <w:spacing w:line="360" w:lineRule="auto"/>
        <w:rPr>
          <w:rFonts w:ascii="宋体" w:hAnsi="宋体" w:cs="宋体"/>
          <w:b/>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14:textFill>
            <w14:solidFill>
              <w14:schemeClr w14:val="tx1"/>
            </w14:solidFill>
          </w14:textFill>
        </w:rPr>
        <w:t>其他要求</w:t>
      </w:r>
    </w:p>
    <w:p w14:paraId="34757D34">
      <w:pPr>
        <w:pageBreakBefore w:val="0"/>
        <w:kinsoku/>
        <w:overflowPunct/>
        <w:topLinePunct w:val="0"/>
        <w:autoSpaceDE/>
        <w:autoSpaceDN/>
        <w:bidi w:val="0"/>
        <w:spacing w:line="360" w:lineRule="auto"/>
        <w:ind w:firstLine="420" w:firstLineChars="200"/>
        <w:outlineLvl w:val="9"/>
        <w:rPr>
          <w:rFonts w:hint="eastAsia" w:hAnsi="宋体" w:cs="宋体"/>
          <w:b/>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若供应商</w:t>
      </w:r>
      <w:r>
        <w:rPr>
          <w:rFonts w:hint="eastAsia" w:ascii="宋体" w:hAnsi="宋体" w:cs="宋体"/>
          <w:color w:val="000000" w:themeColor="text1"/>
          <w:kern w:val="0"/>
          <w:szCs w:val="21"/>
          <w:shd w:val="clear" w:color="auto" w:fill="FFFFFF"/>
          <w14:textFill>
            <w14:solidFill>
              <w14:schemeClr w14:val="tx1"/>
            </w14:solidFill>
          </w14:textFill>
        </w:rPr>
        <w:t>货产品抽检累计三次不合格</w:t>
      </w:r>
      <w:r>
        <w:rPr>
          <w:rFonts w:hint="eastAsia" w:ascii="宋体" w:hAnsi="宋体" w:cs="宋体"/>
          <w:color w:val="000000" w:themeColor="text1"/>
          <w:kern w:val="0"/>
          <w:szCs w:val="21"/>
          <w:shd w:val="clear" w:color="auto" w:fill="FFFFFF"/>
          <w:lang w:eastAsia="zh-CN"/>
          <w14:textFill>
            <w14:solidFill>
              <w14:schemeClr w14:val="tx1"/>
            </w14:solidFill>
          </w14:textFill>
        </w:rPr>
        <w:t>或</w:t>
      </w:r>
      <w:r>
        <w:rPr>
          <w:rFonts w:hint="eastAsia" w:ascii="宋体" w:hAnsi="宋体" w:cs="宋体"/>
          <w:color w:val="000000" w:themeColor="text1"/>
          <w:kern w:val="0"/>
          <w:szCs w:val="21"/>
          <w:shd w:val="clear" w:color="auto" w:fill="FFFFFF"/>
          <w14:textFill>
            <w14:solidFill>
              <w14:schemeClr w14:val="tx1"/>
            </w14:solidFill>
          </w14:textFill>
        </w:rPr>
        <w:t>未按</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要求的供货时间送达</w:t>
      </w:r>
      <w:r>
        <w:rPr>
          <w:rFonts w:hint="eastAsia" w:ascii="宋体" w:hAnsi="宋体" w:cs="宋体"/>
          <w:color w:val="000000" w:themeColor="text1"/>
          <w:kern w:val="0"/>
          <w:szCs w:val="21"/>
          <w:shd w:val="clear" w:color="auto" w:fill="FFFFFF"/>
          <w:lang w:eastAsia="zh-CN"/>
          <w14:textFill>
            <w14:solidFill>
              <w14:schemeClr w14:val="tx1"/>
            </w14:solidFill>
          </w14:textFill>
        </w:rPr>
        <w:t>招标人</w:t>
      </w:r>
      <w:r>
        <w:rPr>
          <w:rFonts w:hint="eastAsia" w:ascii="宋体" w:hAnsi="宋体" w:cs="宋体"/>
          <w:color w:val="000000" w:themeColor="text1"/>
          <w:kern w:val="0"/>
          <w:szCs w:val="21"/>
          <w:shd w:val="clear" w:color="auto" w:fill="FFFFFF"/>
          <w14:textFill>
            <w14:solidFill>
              <w14:schemeClr w14:val="tx1"/>
            </w14:solidFill>
          </w14:textFill>
        </w:rPr>
        <w:t>指定的地点达三次</w:t>
      </w:r>
      <w:r>
        <w:rPr>
          <w:rFonts w:hint="eastAsia" w:ascii="宋体" w:hAnsi="宋体" w:eastAsia="宋体" w:cs="宋体"/>
          <w:i w:val="0"/>
          <w:iCs w:val="0"/>
          <w:caps w:val="0"/>
          <w:color w:val="000000" w:themeColor="text1"/>
          <w:spacing w:val="0"/>
          <w:kern w:val="0"/>
          <w:sz w:val="21"/>
          <w:szCs w:val="21"/>
          <w:highlight w:val="none"/>
          <w:shd w:val="clear" w:color="auto" w:fill="FFFFFF"/>
          <w:lang w:val="en-US" w:eastAsia="zh-CN"/>
          <w14:textFill>
            <w14:solidFill>
              <w14:schemeClr w14:val="tx1"/>
            </w14:solidFill>
          </w14:textFill>
        </w:rPr>
        <w:t>，招标人可终止供货合同。</w:t>
      </w:r>
    </w:p>
    <w:p w14:paraId="2E512D2E">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r>
        <w:rPr>
          <w:rFonts w:ascii="宋体" w:hAnsi="宋体"/>
          <w:b w:val="0"/>
          <w:bCs w:val="0"/>
          <w:color w:val="000000" w:themeColor="text1"/>
          <w:sz w:val="32"/>
          <w14:textFill>
            <w14:solidFill>
              <w14:schemeClr w14:val="tx1"/>
            </w14:solidFill>
          </w14:textFill>
        </w:rPr>
        <w:br w:type="page"/>
      </w:r>
    </w:p>
    <w:p w14:paraId="42F900A9">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1B778D6B">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68D8D0E7">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1A92D8C">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20721620">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6A7FA526">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784662A">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2156D1E9">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67754F57">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6E70B597">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08990A3">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02E986E0">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p>
    <w:p w14:paraId="4E79D4CA">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86" w:name="_Toc149206353"/>
      <w:bookmarkStart w:id="687" w:name="_Toc12042"/>
      <w:r>
        <w:rPr>
          <w:rFonts w:hint="eastAsia" w:ascii="宋体" w:hAnsi="宋体"/>
          <w:b w:val="0"/>
          <w:bCs w:val="0"/>
          <w:color w:val="000000" w:themeColor="text1"/>
          <w:sz w:val="32"/>
          <w14:textFill>
            <w14:solidFill>
              <w14:schemeClr w14:val="tx1"/>
            </w14:solidFill>
          </w14:textFill>
        </w:rPr>
        <w:t>第四卷</w:t>
      </w:r>
      <w:bookmarkEnd w:id="681"/>
      <w:bookmarkEnd w:id="682"/>
      <w:bookmarkEnd w:id="686"/>
      <w:bookmarkEnd w:id="687"/>
    </w:p>
    <w:p w14:paraId="6954C773">
      <w:pPr>
        <w:spacing w:line="400" w:lineRule="exact"/>
        <w:jc w:val="center"/>
        <w:rPr>
          <w:rFonts w:hint="eastAsia" w:ascii="宋体" w:hAnsi="宋体"/>
          <w:color w:val="000000" w:themeColor="text1"/>
          <w14:textFill>
            <w14:solidFill>
              <w14:schemeClr w14:val="tx1"/>
            </w14:solidFill>
          </w14:textFill>
        </w:rPr>
      </w:pPr>
      <w:r>
        <w:rPr>
          <w:rFonts w:ascii="宋体" w:hAnsi="宋体"/>
          <w:b/>
          <w:bCs/>
          <w:color w:val="000000" w:themeColor="text1"/>
          <w:sz w:val="32"/>
          <w14:textFill>
            <w14:solidFill>
              <w14:schemeClr w14:val="tx1"/>
            </w14:solidFill>
          </w14:textFill>
        </w:rPr>
        <w:br w:type="page"/>
      </w:r>
    </w:p>
    <w:p w14:paraId="48851674">
      <w:pPr>
        <w:spacing w:line="400" w:lineRule="exact"/>
        <w:jc w:val="center"/>
        <w:rPr>
          <w:rFonts w:hint="eastAsia" w:ascii="宋体" w:hAnsi="宋体"/>
          <w:color w:val="000000" w:themeColor="text1"/>
          <w14:textFill>
            <w14:solidFill>
              <w14:schemeClr w14:val="tx1"/>
            </w14:solidFill>
          </w14:textFill>
        </w:rPr>
      </w:pPr>
    </w:p>
    <w:p w14:paraId="3F4763AF">
      <w:pPr>
        <w:spacing w:line="400" w:lineRule="exact"/>
        <w:jc w:val="center"/>
        <w:rPr>
          <w:rFonts w:hint="eastAsia" w:ascii="宋体" w:hAnsi="宋体"/>
          <w:color w:val="000000" w:themeColor="text1"/>
          <w14:textFill>
            <w14:solidFill>
              <w14:schemeClr w14:val="tx1"/>
            </w14:solidFill>
          </w14:textFill>
        </w:rPr>
      </w:pPr>
    </w:p>
    <w:p w14:paraId="12736BB3">
      <w:pPr>
        <w:pStyle w:val="2"/>
        <w:spacing w:before="120" w:after="120" w:line="400" w:lineRule="exact"/>
        <w:jc w:val="center"/>
        <w:rPr>
          <w:rFonts w:hint="eastAsia" w:ascii="宋体" w:hAnsi="宋体"/>
          <w:b w:val="0"/>
          <w:bCs w:val="0"/>
          <w:color w:val="000000" w:themeColor="text1"/>
          <w:sz w:val="32"/>
          <w14:textFill>
            <w14:solidFill>
              <w14:schemeClr w14:val="tx1"/>
            </w14:solidFill>
          </w14:textFill>
        </w:rPr>
      </w:pPr>
      <w:bookmarkStart w:id="688" w:name="_Toc34814399"/>
      <w:bookmarkStart w:id="689" w:name="_Toc149206354"/>
      <w:bookmarkStart w:id="690" w:name="_Toc27986441"/>
      <w:bookmarkStart w:id="691" w:name="_Toc25286"/>
      <w:r>
        <w:rPr>
          <w:rFonts w:hint="eastAsia" w:ascii="宋体" w:hAnsi="宋体"/>
          <w:b w:val="0"/>
          <w:bCs w:val="0"/>
          <w:color w:val="000000" w:themeColor="text1"/>
          <w:sz w:val="32"/>
          <w14:textFill>
            <w14:solidFill>
              <w14:schemeClr w14:val="tx1"/>
            </w14:solidFill>
          </w14:textFill>
        </w:rPr>
        <w:t>第八章  投标文件格式</w:t>
      </w:r>
      <w:bookmarkEnd w:id="683"/>
      <w:bookmarkEnd w:id="684"/>
      <w:bookmarkEnd w:id="685"/>
      <w:bookmarkEnd w:id="688"/>
      <w:bookmarkEnd w:id="689"/>
      <w:bookmarkEnd w:id="690"/>
      <w:bookmarkEnd w:id="691"/>
    </w:p>
    <w:p w14:paraId="1D12E271">
      <w:pPr>
        <w:spacing w:line="400" w:lineRule="exact"/>
        <w:rPr>
          <w:rFonts w:hint="eastAsia" w:ascii="宋体" w:hAnsi="宋体"/>
          <w:color w:val="000000" w:themeColor="text1"/>
          <w14:textFill>
            <w14:solidFill>
              <w14:schemeClr w14:val="tx1"/>
            </w14:solidFill>
          </w14:textFill>
        </w:rPr>
      </w:pPr>
    </w:p>
    <w:p w14:paraId="0EDCC30D">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675AD81B">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r>
        <w:rPr>
          <w:rFonts w:hint="eastAsia" w:ascii="宋体" w:hAnsi="宋体" w:cs="宋体"/>
          <w:color w:val="000000" w:themeColor="text1"/>
          <w:sz w:val="40"/>
          <w:szCs w:val="40"/>
          <w14:textFill>
            <w14:solidFill>
              <w14:schemeClr w14:val="tx1"/>
            </w14:solidFill>
          </w14:textFill>
        </w:rPr>
        <w:t>商务标格式</w:t>
      </w:r>
    </w:p>
    <w:p w14:paraId="6AC99154">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05EC935A">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4E50491A">
      <w:pPr>
        <w:spacing w:line="265" w:lineRule="auto"/>
        <w:ind w:left="10" w:right="702" w:hanging="10"/>
        <w:jc w:val="center"/>
        <w:rPr>
          <w:rFonts w:ascii="宋体" w:hAnsi="宋体" w:cs="宋体"/>
          <w:color w:val="000000" w:themeColor="text1"/>
          <w:sz w:val="28"/>
          <w:u w:val="single"/>
          <w14:textFill>
            <w14:solidFill>
              <w14:schemeClr w14:val="tx1"/>
            </w14:solidFill>
          </w14:textFill>
        </w:rPr>
      </w:pPr>
    </w:p>
    <w:p w14:paraId="5CBBEB42">
      <w:pPr>
        <w:spacing w:line="360" w:lineRule="auto"/>
        <w:jc w:val="center"/>
        <w:rPr>
          <w:rFonts w:hint="eastAsia" w:ascii="黑体" w:hAnsi="黑体" w:eastAsia="黑体" w:cs="黑体"/>
          <w:color w:val="000000" w:themeColor="text1"/>
          <w:sz w:val="48"/>
          <w:szCs w:val="48"/>
          <w:u w:val="single"/>
          <w:lang w:val="en-US" w:eastAsia="zh-CN"/>
          <w14:textFill>
            <w14:solidFill>
              <w14:schemeClr w14:val="tx1"/>
            </w14:solidFill>
          </w14:textFill>
        </w:rPr>
      </w:pPr>
      <w:r>
        <w:rPr>
          <w:rFonts w:hint="eastAsia" w:ascii="黑体" w:hAnsi="黑体" w:eastAsia="黑体" w:cs="黑体"/>
          <w:color w:val="000000" w:themeColor="text1"/>
          <w:sz w:val="48"/>
          <w:szCs w:val="48"/>
          <w:u w:val="single"/>
          <w:lang w:val="en-US" w:eastAsia="zh-CN"/>
          <w14:textFill>
            <w14:solidFill>
              <w14:schemeClr w14:val="tx1"/>
            </w14:solidFill>
          </w14:textFill>
        </w:rPr>
        <w:t>洞头区陆域引调水工程二期</w:t>
      </w:r>
    </w:p>
    <w:p w14:paraId="30FC6BA9">
      <w:pPr>
        <w:jc w:val="center"/>
        <w:rPr>
          <w:rFonts w:ascii="宋体" w:hAnsi="宋体" w:cs="宋体"/>
          <w:color w:val="000000" w:themeColor="text1"/>
          <w:u w:val="single"/>
          <w14:textFill>
            <w14:solidFill>
              <w14:schemeClr w14:val="tx1"/>
            </w14:solidFill>
          </w14:textFill>
        </w:rPr>
      </w:pPr>
      <w:r>
        <w:rPr>
          <w:rFonts w:hint="eastAsia" w:ascii="黑体" w:hAnsi="黑体" w:eastAsia="黑体" w:cs="黑体"/>
          <w:color w:val="000000" w:themeColor="text1"/>
          <w:sz w:val="48"/>
          <w:szCs w:val="48"/>
          <w:u w:val="single"/>
          <w:lang w:val="en-US" w:eastAsia="zh-CN"/>
          <w14:textFill>
            <w14:solidFill>
              <w14:schemeClr w14:val="tx1"/>
            </w14:solidFill>
          </w14:textFill>
        </w:rPr>
        <w:t>（金海三道段、滨海十八路段、滨海大道东段和西段）</w:t>
      </w:r>
    </w:p>
    <w:p w14:paraId="39FDE734">
      <w:pPr>
        <w:spacing w:after="254"/>
        <w:rPr>
          <w:rFonts w:ascii="宋体" w:hAnsi="宋体" w:cs="宋体"/>
          <w:color w:val="000000" w:themeColor="text1"/>
          <w14:textFill>
            <w14:solidFill>
              <w14:schemeClr w14:val="tx1"/>
            </w14:solidFill>
          </w14:textFill>
        </w:rPr>
      </w:pPr>
    </w:p>
    <w:p w14:paraId="190EEC56">
      <w:pPr>
        <w:spacing w:after="254"/>
        <w:rPr>
          <w:rFonts w:ascii="宋体" w:hAnsi="宋体" w:cs="宋体"/>
          <w:color w:val="000000" w:themeColor="text1"/>
          <w14:textFill>
            <w14:solidFill>
              <w14:schemeClr w14:val="tx1"/>
            </w14:solidFill>
          </w14:textFill>
        </w:rPr>
      </w:pPr>
    </w:p>
    <w:p w14:paraId="06AFFB5F">
      <w:pPr>
        <w:spacing w:after="254"/>
        <w:rPr>
          <w:rFonts w:ascii="宋体" w:hAnsi="宋体" w:cs="宋体"/>
          <w:color w:val="000000" w:themeColor="text1"/>
          <w14:textFill>
            <w14:solidFill>
              <w14:schemeClr w14:val="tx1"/>
            </w14:solidFill>
          </w14:textFill>
        </w:rPr>
      </w:pPr>
    </w:p>
    <w:p w14:paraId="328FBFCC">
      <w:pPr>
        <w:ind w:left="10" w:right="701" w:hanging="1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投标文件</w:t>
      </w:r>
    </w:p>
    <w:p w14:paraId="0C238FBF">
      <w:pPr>
        <w:ind w:right="591"/>
        <w:jc w:val="center"/>
        <w:rPr>
          <w:rFonts w:ascii="宋体" w:hAnsi="宋体" w:cs="宋体"/>
          <w:color w:val="000000" w:themeColor="text1"/>
          <w14:textFill>
            <w14:solidFill>
              <w14:schemeClr w14:val="tx1"/>
            </w14:solidFill>
          </w14:textFill>
        </w:rPr>
      </w:pPr>
    </w:p>
    <w:p w14:paraId="6FBFACFB">
      <w:pPr>
        <w:ind w:right="591"/>
        <w:jc w:val="center"/>
        <w:outlineLvl w:val="0"/>
        <w:rPr>
          <w:rFonts w:ascii="宋体" w:hAnsi="宋体" w:cs="宋体"/>
          <w:color w:val="000000" w:themeColor="text1"/>
          <w:sz w:val="28"/>
          <w:szCs w:val="28"/>
          <w14:textFill>
            <w14:solidFill>
              <w14:schemeClr w14:val="tx1"/>
            </w14:solidFill>
          </w14:textFill>
        </w:rPr>
      </w:pPr>
      <w:bookmarkStart w:id="692" w:name="_Toc20036"/>
      <w:r>
        <w:rPr>
          <w:rFonts w:hint="eastAsia" w:ascii="宋体" w:hAnsi="宋体" w:cs="宋体"/>
          <w:color w:val="000000" w:themeColor="text1"/>
          <w:sz w:val="28"/>
          <w:szCs w:val="28"/>
          <w14:textFill>
            <w14:solidFill>
              <w14:schemeClr w14:val="tx1"/>
            </w14:solidFill>
          </w14:textFill>
        </w:rPr>
        <w:t>（商务标）</w:t>
      </w:r>
      <w:bookmarkEnd w:id="692"/>
    </w:p>
    <w:p w14:paraId="4A28A308">
      <w:pPr>
        <w:rPr>
          <w:rFonts w:ascii="宋体" w:hAnsi="宋体" w:cs="宋体"/>
          <w:color w:val="000000" w:themeColor="text1"/>
          <w14:textFill>
            <w14:solidFill>
              <w14:schemeClr w14:val="tx1"/>
            </w14:solidFill>
          </w14:textFill>
        </w:rPr>
      </w:pPr>
    </w:p>
    <w:p w14:paraId="262E87A7">
      <w:pPr>
        <w:rPr>
          <w:rFonts w:ascii="宋体" w:hAnsi="宋体" w:cs="宋体"/>
          <w:color w:val="000000" w:themeColor="text1"/>
          <w14:textFill>
            <w14:solidFill>
              <w14:schemeClr w14:val="tx1"/>
            </w14:solidFill>
          </w14:textFill>
        </w:rPr>
      </w:pPr>
    </w:p>
    <w:p w14:paraId="53B0EDEE">
      <w:pPr>
        <w:rPr>
          <w:rFonts w:ascii="宋体" w:hAnsi="宋体" w:cs="宋体"/>
          <w:color w:val="000000" w:themeColor="text1"/>
          <w14:textFill>
            <w14:solidFill>
              <w14:schemeClr w14:val="tx1"/>
            </w14:solidFill>
          </w14:textFill>
        </w:rPr>
      </w:pPr>
    </w:p>
    <w:p w14:paraId="313F4E22">
      <w:pPr>
        <w:rPr>
          <w:rFonts w:ascii="宋体" w:hAnsi="宋体" w:cs="宋体"/>
          <w:color w:val="000000" w:themeColor="text1"/>
          <w14:textFill>
            <w14:solidFill>
              <w14:schemeClr w14:val="tx1"/>
            </w14:solidFill>
          </w14:textFill>
        </w:rPr>
      </w:pPr>
    </w:p>
    <w:p w14:paraId="4AEBE9A8">
      <w:pPr>
        <w:rPr>
          <w:rFonts w:ascii="宋体" w:hAnsi="宋体" w:cs="宋体"/>
          <w:color w:val="000000" w:themeColor="text1"/>
          <w14:textFill>
            <w14:solidFill>
              <w14:schemeClr w14:val="tx1"/>
            </w14:solidFill>
          </w14:textFill>
        </w:rPr>
      </w:pPr>
    </w:p>
    <w:p w14:paraId="584C08FE">
      <w:pPr>
        <w:rPr>
          <w:rFonts w:ascii="宋体" w:hAnsi="宋体" w:cs="宋体"/>
          <w:color w:val="000000" w:themeColor="text1"/>
          <w14:textFill>
            <w14:solidFill>
              <w14:schemeClr w14:val="tx1"/>
            </w14:solidFill>
          </w14:textFill>
        </w:rPr>
      </w:pPr>
    </w:p>
    <w:p w14:paraId="4100E3F2">
      <w:pPr>
        <w:rPr>
          <w:rFonts w:ascii="宋体" w:hAnsi="宋体" w:cs="宋体"/>
          <w:color w:val="000000" w:themeColor="text1"/>
          <w14:textFill>
            <w14:solidFill>
              <w14:schemeClr w14:val="tx1"/>
            </w14:solidFill>
          </w14:textFill>
        </w:rPr>
      </w:pPr>
    </w:p>
    <w:p w14:paraId="4135B677">
      <w:pPr>
        <w:spacing w:after="196"/>
        <w:rPr>
          <w:rFonts w:ascii="宋体" w:hAnsi="宋体" w:cs="宋体"/>
          <w:color w:val="000000" w:themeColor="text1"/>
          <w14:textFill>
            <w14:solidFill>
              <w14:schemeClr w14:val="tx1"/>
            </w14:solidFill>
          </w14:textFill>
        </w:rPr>
      </w:pPr>
    </w:p>
    <w:p w14:paraId="670BF5F2">
      <w:pPr>
        <w:spacing w:line="378" w:lineRule="auto"/>
        <w:ind w:left="1131" w:hanging="1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投标人：</w:t>
      </w:r>
      <w:r>
        <w:rPr>
          <w:rFonts w:hint="eastAsia" w:ascii="宋体" w:hAnsi="宋体" w:cs="宋体"/>
          <w:color w:val="000000" w:themeColor="text1"/>
          <w:sz w:val="28"/>
          <w:u w:val="single"/>
          <w14:textFill>
            <w14:solidFill>
              <w14:schemeClr w14:val="tx1"/>
            </w14:solidFill>
          </w14:textFill>
        </w:rPr>
        <w:t>（盖单位章）</w:t>
      </w:r>
    </w:p>
    <w:p w14:paraId="0D73561A">
      <w:pPr>
        <w:spacing w:line="378" w:lineRule="auto"/>
        <w:ind w:left="1131" w:hanging="10"/>
        <w:rPr>
          <w:rFonts w:ascii="宋体" w:hAnsi="宋体" w:cs="宋体"/>
          <w:color w:val="000000" w:themeColor="text1"/>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法定代表人（单位负责人）或其委托代理人：</w:t>
      </w:r>
      <w:r>
        <w:rPr>
          <w:rFonts w:hint="eastAsia" w:ascii="宋体" w:hAnsi="宋体" w:cs="宋体"/>
          <w:color w:val="000000" w:themeColor="text1"/>
          <w:sz w:val="28"/>
          <w:u w:val="single"/>
          <w14:textFill>
            <w14:solidFill>
              <w14:schemeClr w14:val="tx1"/>
            </w14:solidFill>
          </w14:textFill>
        </w:rPr>
        <w:t>（签字或盖章）</w:t>
      </w:r>
    </w:p>
    <w:p w14:paraId="0629C8D5">
      <w:pPr>
        <w:spacing w:after="73"/>
        <w:ind w:right="631"/>
        <w:jc w:val="center"/>
        <w:rPr>
          <w:rFonts w:ascii="宋体" w:hAnsi="宋体" w:cs="宋体"/>
          <w:color w:val="000000" w:themeColor="text1"/>
          <w14:textFill>
            <w14:solidFill>
              <w14:schemeClr w14:val="tx1"/>
            </w14:solidFill>
          </w14:textFill>
        </w:rPr>
      </w:pPr>
    </w:p>
    <w:p w14:paraId="273EEDE3">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ab/>
      </w:r>
      <w:r>
        <w:rPr>
          <w:rFonts w:hint="eastAsia" w:cs="宋体"/>
          <w:color w:val="000000" w:themeColor="text1"/>
          <w:sz w:val="28"/>
          <w14:textFill>
            <w14:solidFill>
              <w14:schemeClr w14:val="tx1"/>
            </w14:solidFill>
          </w14:textFill>
        </w:rPr>
        <w:t>年    月    日</w:t>
      </w:r>
      <w:r>
        <w:rPr>
          <w:rFonts w:hint="eastAsia" w:cs="宋体"/>
          <w:color w:val="000000" w:themeColor="text1"/>
          <w14:textFill>
            <w14:solidFill>
              <w14:schemeClr w14:val="tx1"/>
            </w14:solidFill>
          </w14:textFill>
        </w:rPr>
        <w:tab/>
      </w:r>
    </w:p>
    <w:p w14:paraId="185975C3">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0EE27777">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51DADAC0">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23F5DD9A">
      <w:pPr>
        <w:pStyle w:val="16"/>
        <w:spacing w:before="0" w:beforeAutospacing="0" w:after="0" w:afterAutospacing="0"/>
        <w:ind w:firstLine="176" w:firstLineChars="98"/>
        <w:jc w:val="center"/>
        <w:rPr>
          <w:rFonts w:hint="eastAsia" w:cs="宋体"/>
          <w:color w:val="000000" w:themeColor="text1"/>
          <w14:textFill>
            <w14:solidFill>
              <w14:schemeClr w14:val="tx1"/>
            </w14:solidFill>
          </w14:textFill>
        </w:rPr>
      </w:pPr>
    </w:p>
    <w:p w14:paraId="0D927D33">
      <w:pPr>
        <w:pStyle w:val="3"/>
        <w:spacing w:after="573"/>
        <w:ind w:right="704"/>
        <w:jc w:val="center"/>
        <w:rPr>
          <w:rFonts w:ascii="Arial" w:hAnsi="Arial" w:eastAsia="宋体" w:cs="Arial"/>
          <w:color w:val="000000" w:themeColor="text1"/>
          <w:highlight w:val="none"/>
          <w14:textFill>
            <w14:solidFill>
              <w14:schemeClr w14:val="tx1"/>
            </w14:solidFill>
          </w14:textFill>
        </w:rPr>
      </w:pPr>
      <w:bookmarkStart w:id="693" w:name="_Toc17639"/>
      <w:r>
        <w:rPr>
          <w:rFonts w:ascii="Arial" w:hAnsi="Arial" w:eastAsia="宋体" w:cs="Arial"/>
          <w:color w:val="000000" w:themeColor="text1"/>
          <w:highlight w:val="none"/>
          <w14:textFill>
            <w14:solidFill>
              <w14:schemeClr w14:val="tx1"/>
            </w14:solidFill>
          </w14:textFill>
        </w:rPr>
        <w:t>一、投标函</w:t>
      </w:r>
      <w:bookmarkEnd w:id="693"/>
    </w:p>
    <w:p w14:paraId="76DAE30B">
      <w:pPr>
        <w:spacing w:after="0" w:line="360" w:lineRule="auto"/>
        <w:ind w:left="-5" w:right="590" w:hanging="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highlight w:val="none"/>
          <w:u w:val="singl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w:t>
      </w:r>
      <w:r>
        <w:rPr>
          <w:rFonts w:hint="eastAsia" w:ascii="Arial" w:hAnsi="Arial" w:cs="Arial"/>
          <w:color w:val="000000" w:themeColor="text1"/>
          <w:sz w:val="21"/>
          <w:szCs w:val="21"/>
          <w:highlight w:val="none"/>
          <w:u w:val="single"/>
          <w:lang w:val="en-US" w:eastAsia="zh-CN"/>
          <w14:textFill>
            <w14:solidFill>
              <w14:schemeClr w14:val="tx1"/>
            </w14:solidFill>
          </w14:textFill>
        </w:rPr>
        <w:t>温州市市政工程建设开发有限公公司</w:t>
      </w:r>
      <w:r>
        <w:rPr>
          <w:rFonts w:ascii="Arial" w:hAnsi="Arial" w:eastAsia="宋体" w:cs="Arial"/>
          <w:color w:val="000000" w:themeColor="text1"/>
          <w:sz w:val="21"/>
          <w:szCs w:val="21"/>
          <w:highlight w:val="none"/>
          <w:u w:val="single"/>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w:t>
      </w:r>
    </w:p>
    <w:p w14:paraId="4F8D2042">
      <w:pPr>
        <w:spacing w:line="360" w:lineRule="auto"/>
        <w:ind w:firstLine="630" w:firstLineChars="300"/>
        <w:jc w:val="both"/>
        <w:rPr>
          <w:rFonts w:hint="default" w:ascii="Arial" w:hAnsi="Arial" w:eastAsia="宋体" w:cs="Arial"/>
          <w:color w:val="000000" w:themeColor="text1"/>
          <w:sz w:val="21"/>
          <w:szCs w:val="21"/>
          <w:highlight w:val="none"/>
          <w:u w:val="none"/>
          <w:lang w:val="en-US" w:eastAsia="zh-CN"/>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我方已仔细研究了</w:t>
      </w:r>
      <w:r>
        <w:rPr>
          <w:rFonts w:hint="eastAsia" w:ascii="Arial" w:hAnsi="Arial" w:eastAsia="宋体" w:cs="Arial"/>
          <w:color w:val="000000" w:themeColor="text1"/>
          <w:sz w:val="21"/>
          <w:szCs w:val="21"/>
          <w:highlight w:val="none"/>
          <w:u w:val="single"/>
          <w:lang w:val="en-US" w:eastAsia="zh-CN"/>
          <w14:textFill>
            <w14:solidFill>
              <w14:schemeClr w14:val="tx1"/>
            </w14:solidFill>
          </w14:textFill>
        </w:rPr>
        <w:t>洞头区陆域引调水工程二期（金海三道段、滨海十八路段、滨海大道东段和西段）</w:t>
      </w:r>
      <w:r>
        <w:rPr>
          <w:rFonts w:ascii="Arial" w:hAnsi="Arial" w:eastAsia="宋体" w:cs="Arial"/>
          <w:color w:val="000000" w:themeColor="text1"/>
          <w:sz w:val="21"/>
          <w:szCs w:val="21"/>
          <w:highlight w:val="none"/>
          <w14:textFill>
            <w14:solidFill>
              <w14:schemeClr w14:val="tx1"/>
            </w14:solidFill>
          </w14:textFill>
        </w:rPr>
        <w:t xml:space="preserve">  项目招标文件的全部内容，愿意以</w:t>
      </w:r>
      <w:r>
        <w:rPr>
          <w:rFonts w:hint="default" w:ascii="Arial" w:hAnsi="Arial" w:eastAsia="宋体" w:cs="Arial"/>
          <w:color w:val="000000" w:themeColor="text1"/>
          <w:sz w:val="21"/>
          <w:szCs w:val="21"/>
          <w:highlight w:val="none"/>
          <w14:textFill>
            <w14:solidFill>
              <w14:schemeClr w14:val="tx1"/>
            </w14:solidFill>
          </w14:textFill>
        </w:rPr>
        <w:t>砼单价（元</w:t>
      </w:r>
      <w:r>
        <w:rPr>
          <w:rFonts w:ascii="Arial" w:hAnsi="Arial" w:eastAsia="宋体" w:cs="Arial"/>
          <w:color w:val="000000" w:themeColor="text1"/>
          <w:sz w:val="21"/>
          <w:szCs w:val="21"/>
          <w:highlight w:val="none"/>
          <w14:textFill>
            <w14:solidFill>
              <w14:schemeClr w14:val="tx1"/>
            </w14:solidFill>
          </w14:textFill>
        </w:rPr>
        <w:t>/</w:t>
      </w:r>
      <w:r>
        <w:rPr>
          <w:rFonts w:hint="eastAsia" w:ascii="Arial" w:hAnsi="Arial" w:cs="Arial"/>
          <w:color w:val="000000" w:themeColor="text1"/>
          <w:sz w:val="21"/>
          <w:szCs w:val="21"/>
          <w:highlight w:val="none"/>
          <w:lang w:eastAsia="zh-CN"/>
          <w14:textFill>
            <w14:solidFill>
              <w14:schemeClr w14:val="tx1"/>
            </w14:solidFill>
          </w14:textFill>
        </w:rPr>
        <w:t>m³</w:t>
      </w:r>
      <w:r>
        <w:rPr>
          <w:rFonts w:hint="default" w:ascii="Arial" w:hAnsi="Arial" w:eastAsia="宋体" w:cs="Arial"/>
          <w:color w:val="000000" w:themeColor="text1"/>
          <w:sz w:val="21"/>
          <w:szCs w:val="21"/>
          <w:highlight w:val="none"/>
          <w14:textFill>
            <w14:solidFill>
              <w14:schemeClr w14:val="tx1"/>
            </w14:solidFill>
          </w14:textFill>
        </w:rPr>
        <w:t>）：按温州市住建委建设工程造价管理处发布的</w:t>
      </w:r>
      <w:r>
        <w:rPr>
          <w:rFonts w:hint="default" w:ascii="Arial" w:hAnsi="Arial" w:eastAsia="宋体" w:cs="Arial"/>
          <w:color w:val="000000" w:themeColor="text1"/>
          <w:sz w:val="21"/>
          <w:szCs w:val="21"/>
          <w:highlight w:val="none"/>
          <w:lang w:val="en-US" w:eastAsia="zh-CN"/>
          <w14:textFill>
            <w14:solidFill>
              <w14:schemeClr w14:val="tx1"/>
            </w14:solidFill>
          </w14:textFill>
        </w:rPr>
        <w:t>当</w:t>
      </w:r>
      <w:r>
        <w:rPr>
          <w:rFonts w:hint="default" w:ascii="Arial" w:hAnsi="Arial" w:eastAsia="宋体" w:cs="Arial"/>
          <w:color w:val="000000" w:themeColor="text1"/>
          <w:sz w:val="21"/>
          <w:szCs w:val="21"/>
          <w:highlight w:val="none"/>
          <w14:textFill>
            <w14:solidFill>
              <w14:schemeClr w14:val="tx1"/>
            </w14:solidFill>
          </w14:textFill>
        </w:rPr>
        <w:t>月</w:t>
      </w:r>
      <w:r>
        <w:rPr>
          <w:rFonts w:hint="default" w:ascii="Arial" w:hAnsi="Arial" w:eastAsia="宋体" w:cs="Arial"/>
          <w:color w:val="000000" w:themeColor="text1"/>
          <w:sz w:val="21"/>
          <w:szCs w:val="21"/>
          <w:highlight w:val="none"/>
          <w:lang w:eastAsia="zh-CN"/>
          <w14:textFill>
            <w14:solidFill>
              <w14:schemeClr w14:val="tx1"/>
            </w14:solidFill>
          </w14:textFill>
        </w:rPr>
        <w:t>含税</w:t>
      </w:r>
      <w:r>
        <w:rPr>
          <w:rFonts w:hint="default" w:ascii="Arial" w:hAnsi="Arial" w:eastAsia="宋体" w:cs="Arial"/>
          <w:color w:val="000000" w:themeColor="text1"/>
          <w:sz w:val="21"/>
          <w:szCs w:val="21"/>
          <w:highlight w:val="none"/>
          <w14:textFill>
            <w14:solidFill>
              <w14:schemeClr w14:val="tx1"/>
            </w14:solidFill>
          </w14:textFill>
        </w:rPr>
        <w:t>信息价下浮</w:t>
      </w:r>
      <w:r>
        <w:rPr>
          <w:rFonts w:ascii="Arial" w:hAnsi="Arial" w:eastAsia="宋体" w:cs="Arial"/>
          <w:color w:val="000000" w:themeColor="text1"/>
          <w:sz w:val="21"/>
          <w:szCs w:val="21"/>
          <w:highlight w:val="none"/>
          <w:u w:val="none"/>
          <w14:textFill>
            <w14:solidFill>
              <w14:schemeClr w14:val="tx1"/>
            </w14:solidFill>
          </w14:textFill>
        </w:rPr>
        <w:t xml:space="preserve"> </w:t>
      </w:r>
      <w:r>
        <w:rPr>
          <w:rFonts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single"/>
          <w14:textFill>
            <w14:solidFill>
              <w14:schemeClr w14:val="tx1"/>
            </w14:solidFill>
          </w14:textFill>
        </w:rPr>
        <w:t xml:space="preserve">     </w:t>
      </w:r>
      <w:r>
        <w:rPr>
          <w:rFonts w:hint="default" w:ascii="Arial" w:hAnsi="Arial" w:eastAsia="宋体" w:cs="Arial"/>
          <w:color w:val="000000" w:themeColor="text1"/>
          <w:sz w:val="21"/>
          <w:szCs w:val="21"/>
          <w:highlight w:val="none"/>
          <w:u w:val="none"/>
          <w14:textFill>
            <w14:solidFill>
              <w14:schemeClr w14:val="tx1"/>
            </w14:solidFill>
          </w14:textFill>
        </w:rPr>
        <w:t xml:space="preserve"> </w:t>
      </w:r>
      <w:r>
        <w:rPr>
          <w:rFonts w:hint="default" w:ascii="Arial" w:hAnsi="Arial" w:eastAsia="宋体" w:cs="Arial"/>
          <w:color w:val="000000" w:themeColor="text1"/>
          <w:sz w:val="21"/>
          <w:szCs w:val="21"/>
          <w:highlight w:val="none"/>
          <w14:textFill>
            <w14:solidFill>
              <w14:schemeClr w14:val="tx1"/>
            </w14:solidFill>
          </w14:textFill>
        </w:rPr>
        <w:t>元</w:t>
      </w:r>
      <w:r>
        <w:rPr>
          <w:rFonts w:ascii="Arial" w:hAnsi="Arial" w:eastAsia="宋体" w:cs="Arial"/>
          <w:color w:val="000000" w:themeColor="text1"/>
          <w:sz w:val="21"/>
          <w:szCs w:val="21"/>
          <w:highlight w:val="none"/>
          <w14:textFill>
            <w14:solidFill>
              <w14:schemeClr w14:val="tx1"/>
            </w14:solidFill>
          </w14:textFill>
        </w:rPr>
        <w:t>/</w:t>
      </w:r>
      <w:r>
        <w:rPr>
          <w:rFonts w:hint="eastAsia" w:ascii="Arial" w:hAnsi="Arial" w:cs="Arial"/>
          <w:color w:val="000000" w:themeColor="text1"/>
          <w:sz w:val="21"/>
          <w:szCs w:val="21"/>
          <w:highlight w:val="none"/>
          <w:lang w:eastAsia="zh-CN"/>
          <w14:textFill>
            <w14:solidFill>
              <w14:schemeClr w14:val="tx1"/>
            </w14:solidFill>
          </w14:textFill>
        </w:rPr>
        <w:t>m³</w:t>
      </w:r>
      <w:r>
        <w:rPr>
          <w:rFonts w:hint="default" w:ascii="Arial" w:hAnsi="Arial" w:eastAsia="宋体" w:cs="Arial"/>
          <w:color w:val="000000" w:themeColor="text1"/>
          <w:sz w:val="21"/>
          <w:szCs w:val="21"/>
          <w:highlight w:val="none"/>
          <w14:textFill>
            <w14:solidFill>
              <w14:schemeClr w14:val="tx1"/>
            </w14:solidFill>
          </w14:textFill>
        </w:rPr>
        <w:t>执行</w:t>
      </w:r>
      <w:r>
        <w:rPr>
          <w:rFonts w:hint="default" w:ascii="Arial" w:hAnsi="Arial" w:eastAsia="宋体" w:cs="Arial"/>
          <w:color w:val="000000" w:themeColor="text1"/>
          <w:sz w:val="21"/>
          <w:szCs w:val="21"/>
          <w:highlight w:val="none"/>
          <w:lang w:eastAsia="zh-CN"/>
          <w14:textFill>
            <w14:solidFill>
              <w14:schemeClr w14:val="tx1"/>
            </w14:solidFill>
          </w14:textFill>
        </w:rPr>
        <w:t>；</w:t>
      </w:r>
      <w:r>
        <w:rPr>
          <w:rFonts w:hint="eastAsia" w:ascii="Arial" w:hAnsi="Arial" w:cs="Arial"/>
          <w:color w:val="000000" w:themeColor="text1"/>
          <w:sz w:val="21"/>
          <w:szCs w:val="21"/>
          <w:highlight w:val="none"/>
          <w:lang w:eastAsia="zh-CN"/>
          <w14:textFill>
            <w14:solidFill>
              <w14:schemeClr w14:val="tx1"/>
            </w14:solidFill>
          </w14:textFill>
        </w:rPr>
        <w:t>我</w:t>
      </w:r>
      <w:r>
        <w:rPr>
          <w:rFonts w:hint="default" w:ascii="Arial" w:hAnsi="Arial" w:eastAsia="宋体" w:cs="Arial"/>
          <w:color w:val="000000" w:themeColor="text1"/>
          <w:sz w:val="21"/>
          <w:szCs w:val="21"/>
          <w:highlight w:val="none"/>
          <w:lang w:eastAsia="zh-CN"/>
          <w14:textFill>
            <w14:solidFill>
              <w14:schemeClr w14:val="tx1"/>
            </w14:solidFill>
          </w14:textFill>
        </w:rPr>
        <w:t>方提供</w:t>
      </w:r>
      <w:r>
        <w:rPr>
          <w:rFonts w:hint="default" w:ascii="Arial" w:hAnsi="Arial" w:eastAsia="宋体" w:cs="Arial"/>
          <w:color w:val="000000" w:themeColor="text1"/>
          <w:sz w:val="21"/>
          <w:szCs w:val="21"/>
          <w:highlight w:val="none"/>
          <w:lang w:val="en-US" w:eastAsia="zh-CN"/>
          <w14:textFill>
            <w14:solidFill>
              <w14:schemeClr w14:val="tx1"/>
            </w14:solidFill>
          </w14:textFill>
        </w:rPr>
        <w:t>3%增值</w:t>
      </w:r>
      <w:r>
        <w:rPr>
          <w:rFonts w:hint="default" w:ascii="Arial" w:hAnsi="Arial" w:eastAsia="宋体" w:cs="Arial"/>
          <w:color w:val="000000" w:themeColor="text1"/>
          <w:sz w:val="21"/>
          <w:szCs w:val="21"/>
          <w:highlight w:val="none"/>
          <w:u w:val="none"/>
          <w:lang w:val="en-US" w:eastAsia="zh-CN"/>
          <w14:textFill>
            <w14:solidFill>
              <w14:schemeClr w14:val="tx1"/>
            </w14:solidFill>
          </w14:textFill>
        </w:rPr>
        <w:t>税专用发票的投标总报价，以及投标工期符合招标文件要求，按招标文件要求提供相应的设备、技术服务和质保期服务等内容，并按合同约定履行义务。</w:t>
      </w:r>
    </w:p>
    <w:p w14:paraId="2E9E0BE4">
      <w:pPr>
        <w:pStyle w:val="18"/>
        <w:numPr>
          <w:ilvl w:val="0"/>
          <w:numId w:val="0"/>
        </w:numPr>
        <w:spacing w:line="360" w:lineRule="auto"/>
        <w:ind w:left="0" w:leftChars="0" w:firstLine="420" w:firstLineChars="200"/>
        <w:rPr>
          <w:rFonts w:hint="default" w:ascii="Arial" w:hAnsi="Arial" w:eastAsia="宋体" w:cs="Arial"/>
          <w:color w:val="000000" w:themeColor="text1"/>
          <w:kern w:val="2"/>
          <w:sz w:val="21"/>
          <w:szCs w:val="21"/>
          <w:highlight w:val="none"/>
          <w:u w:val="none"/>
          <w:lang w:val="en-US" w:eastAsia="zh-CN" w:bidi="ar-SA"/>
          <w14:textFill>
            <w14:solidFill>
              <w14:schemeClr w14:val="tx1"/>
            </w14:solidFill>
          </w14:textFill>
        </w:rPr>
      </w:pPr>
      <w:r>
        <w:rPr>
          <w:rFonts w:hint="eastAsia" w:ascii="Arial" w:hAnsi="Arial" w:eastAsia="宋体" w:cs="Arial"/>
          <w:color w:val="000000" w:themeColor="text1"/>
          <w:kern w:val="2"/>
          <w:sz w:val="21"/>
          <w:szCs w:val="21"/>
          <w:highlight w:val="none"/>
          <w:u w:val="none"/>
          <w:lang w:val="en-US" w:eastAsia="zh-CN" w:bidi="ar-SA"/>
          <w14:textFill>
            <w14:solidFill>
              <w14:schemeClr w14:val="tx1"/>
            </w14:solidFill>
          </w14:textFill>
        </w:rPr>
        <w:t>我方自有的商品混凝土砼搅拌站详细地址为：</w:t>
      </w:r>
      <w:r>
        <w:rPr>
          <w:rFonts w:hint="eastAsia" w:ascii="Arial" w:hAnsi="Arial" w:eastAsia="宋体" w:cs="Arial"/>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Arial" w:hAnsi="Arial" w:eastAsia="宋体" w:cs="Arial"/>
          <w:color w:val="000000" w:themeColor="text1"/>
          <w:kern w:val="2"/>
          <w:sz w:val="21"/>
          <w:szCs w:val="21"/>
          <w:highlight w:val="none"/>
          <w:u w:val="none"/>
          <w:lang w:val="en-US" w:eastAsia="zh-CN" w:bidi="ar-SA"/>
          <w14:textFill>
            <w14:solidFill>
              <w14:schemeClr w14:val="tx1"/>
            </w14:solidFill>
          </w14:textFill>
        </w:rPr>
        <w:t>。</w:t>
      </w:r>
    </w:p>
    <w:p w14:paraId="6C49BC05">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2. 我方按招标文件的规定提供投标文件相关内容，具体详见投标文件，如投标文件相关内容与投标函内容存在内容不一致的，以投标函内容为准。</w:t>
      </w:r>
    </w:p>
    <w:p w14:paraId="08CA99AE">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3．我方承诺响应招标文件的全部要求。</w:t>
      </w:r>
    </w:p>
    <w:p w14:paraId="5F23C115">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4．我方承诺在招标文件规定的投标有效期内不撤销投标文件。</w:t>
      </w:r>
    </w:p>
    <w:p w14:paraId="28E7A2C1">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5．如我方中标，我方承诺：</w:t>
      </w:r>
    </w:p>
    <w:p w14:paraId="08D6EFC3">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在收到中标通知书后，在中标通知书规定的期限内与你方签订合同；</w:t>
      </w:r>
    </w:p>
    <w:p w14:paraId="411F6168">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在签订合同时不向你方提出附加条件；</w:t>
      </w:r>
    </w:p>
    <w:p w14:paraId="10059ED6">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按照招标文件要求提交履约保证金；</w:t>
      </w:r>
    </w:p>
    <w:p w14:paraId="0B3E98C5">
      <w:pPr>
        <w:numPr>
          <w:ilvl w:val="1"/>
          <w:numId w:val="2"/>
        </w:numPr>
        <w:spacing w:after="0" w:line="360" w:lineRule="auto"/>
        <w:ind w:right="590" w:hanging="526"/>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在合同约定的期限内完成合同规定的全部义务。</w:t>
      </w:r>
    </w:p>
    <w:p w14:paraId="78A9E0B7">
      <w:pPr>
        <w:numPr>
          <w:ilvl w:val="0"/>
          <w:numId w:val="3"/>
        </w:num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我方在此声明，所递交的投标文件及有关资料内容完整、真实和准确，且不存在第二章“投标人须知”第1.4.3 项规定的任何一种情形。</w:t>
      </w:r>
    </w:p>
    <w:p w14:paraId="639D354D">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投标人：</w:t>
      </w:r>
      <w:r>
        <w:rPr>
          <w:rFonts w:ascii="Arial" w:hAnsi="Arial" w:eastAsia="宋体" w:cs="Arial"/>
          <w:color w:val="000000" w:themeColor="text1"/>
          <w:sz w:val="21"/>
          <w:szCs w:val="21"/>
          <w:highlight w:val="none"/>
          <w:u w:val="single"/>
          <w14:textFill>
            <w14:solidFill>
              <w14:schemeClr w14:val="tx1"/>
            </w14:solidFill>
          </w14:textFill>
        </w:rPr>
        <w:t xml:space="preserve">            （盖单位章）            </w:t>
      </w:r>
    </w:p>
    <w:p w14:paraId="6D29D0B8">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法定代表人（单位负责人）或其委托代理人：</w:t>
      </w:r>
      <w:r>
        <w:rPr>
          <w:rFonts w:ascii="Arial" w:hAnsi="Arial" w:eastAsia="宋体" w:cs="Arial"/>
          <w:color w:val="000000" w:themeColor="text1"/>
          <w:sz w:val="21"/>
          <w:szCs w:val="21"/>
          <w:highlight w:val="none"/>
          <w:u w:val="single"/>
          <w14:textFill>
            <w14:solidFill>
              <w14:schemeClr w14:val="tx1"/>
            </w14:solidFill>
          </w14:textFill>
        </w:rPr>
        <w:t xml:space="preserve">            （签字或盖章）            </w:t>
      </w:r>
    </w:p>
    <w:p w14:paraId="3375D2B0">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地址：</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1FC020AA">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网址：</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18D48B0A">
      <w:pPr>
        <w:spacing w:after="0" w:line="360" w:lineRule="auto"/>
        <w:ind w:left="-15" w:right="-8" w:firstLine="410"/>
        <w:rPr>
          <w:rFonts w:ascii="Arial" w:hAnsi="Arial" w:eastAsia="宋体" w:cs="Arial"/>
          <w:color w:val="000000" w:themeColor="text1"/>
          <w:sz w:val="21"/>
          <w:szCs w:val="21"/>
          <w:highlight w:val="none"/>
          <w:u w:val="single" w:color="000000"/>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电话：</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552ED787">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传真：</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4F27C033">
      <w:pPr>
        <w:spacing w:after="0" w:line="360" w:lineRule="auto"/>
        <w:ind w:left="-15" w:right="-8" w:firstLine="410"/>
        <w:rPr>
          <w:rFonts w:ascii="Arial" w:hAnsi="Arial" w:eastAsia="宋体" w:cs="Arial"/>
          <w:color w:val="000000" w:themeColor="text1"/>
          <w:sz w:val="21"/>
          <w:szCs w:val="21"/>
          <w:highlight w:val="none"/>
          <w14:textFill>
            <w14:solidFill>
              <w14:schemeClr w14:val="tx1"/>
            </w14:solidFill>
          </w14:textFill>
        </w:rPr>
      </w:pPr>
      <w:r>
        <w:rPr>
          <w:rFonts w:ascii="Arial" w:hAnsi="Arial" w:eastAsia="宋体" w:cs="Arial"/>
          <w:color w:val="000000" w:themeColor="text1"/>
          <w:sz w:val="21"/>
          <w:szCs w:val="21"/>
          <w:highlight w:val="none"/>
          <w14:textFill>
            <w14:solidFill>
              <w14:schemeClr w14:val="tx1"/>
            </w14:solidFill>
          </w14:textFill>
        </w:rPr>
        <w:t>邮政编码：</w:t>
      </w:r>
      <w:r>
        <w:rPr>
          <w:rFonts w:ascii="Arial" w:hAnsi="Arial" w:eastAsia="宋体" w:cs="Arial"/>
          <w:color w:val="000000" w:themeColor="text1"/>
          <w:sz w:val="21"/>
          <w:szCs w:val="21"/>
          <w:highlight w:val="none"/>
          <w:u w:val="single"/>
          <w14:textFill>
            <w14:solidFill>
              <w14:schemeClr w14:val="tx1"/>
            </w14:solidFill>
          </w14:textFill>
        </w:rPr>
        <w:t xml:space="preserve">                                         </w:t>
      </w:r>
    </w:p>
    <w:p w14:paraId="635AACEE">
      <w:pPr>
        <w:spacing w:after="0" w:line="360" w:lineRule="auto"/>
        <w:ind w:left="-15" w:right="-8" w:firstLine="410"/>
        <w:jc w:val="right"/>
        <w:rPr>
          <w:rFonts w:ascii="Arial" w:hAnsi="Arial" w:eastAsia="宋体" w:cs="Arial"/>
          <w:color w:val="000000" w:themeColor="text1"/>
          <w:sz w:val="21"/>
          <w:szCs w:val="21"/>
          <w:highlight w:val="none"/>
          <w:u w:val="single" w:color="000000"/>
          <w14:textFill>
            <w14:solidFill>
              <w14:schemeClr w14:val="tx1"/>
            </w14:solidFill>
          </w14:textFill>
        </w:rPr>
      </w:pPr>
    </w:p>
    <w:p w14:paraId="0EAB94BF">
      <w:pPr>
        <w:spacing w:line="360" w:lineRule="auto"/>
        <w:ind w:left="-15" w:right="-8" w:firstLine="410"/>
        <w:jc w:val="center"/>
        <w:rPr>
          <w:color w:val="000000" w:themeColor="text1"/>
          <w14:textFill>
            <w14:solidFill>
              <w14:schemeClr w14:val="tx1"/>
            </w14:solidFill>
          </w14:textFill>
        </w:rPr>
      </w:pP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年</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月</w:t>
      </w:r>
      <w:r>
        <w:rPr>
          <w:rFonts w:ascii="Arial" w:hAnsi="Arial" w:eastAsia="宋体" w:cs="Arial"/>
          <w:color w:val="000000" w:themeColor="text1"/>
          <w:sz w:val="21"/>
          <w:szCs w:val="21"/>
          <w:highlight w:val="none"/>
          <w:u w:val="single" w:color="000000"/>
          <w14:textFill>
            <w14:solidFill>
              <w14:schemeClr w14:val="tx1"/>
            </w14:solidFill>
          </w14:textFill>
        </w:rPr>
        <w:t xml:space="preserve">      </w:t>
      </w:r>
      <w:r>
        <w:rPr>
          <w:rFonts w:ascii="Arial" w:hAnsi="Arial" w:eastAsia="宋体" w:cs="Arial"/>
          <w:color w:val="000000" w:themeColor="text1"/>
          <w:sz w:val="21"/>
          <w:szCs w:val="21"/>
          <w:highlight w:val="none"/>
          <w14:textFill>
            <w14:solidFill>
              <w14:schemeClr w14:val="tx1"/>
            </w14:solidFill>
          </w14:textFill>
        </w:rPr>
        <w:t>日</w:t>
      </w:r>
    </w:p>
    <w:p w14:paraId="66CC94FA">
      <w:pPr>
        <w:jc w:val="center"/>
        <w:rPr>
          <w:rFonts w:ascii="宋体" w:hAnsi="宋体"/>
          <w:color w:val="000000" w:themeColor="text1"/>
          <w14:textFill>
            <w14:solidFill>
              <w14:schemeClr w14:val="tx1"/>
            </w14:solidFill>
          </w14:textFill>
        </w:rPr>
      </w:pPr>
    </w:p>
    <w:p w14:paraId="318077F2">
      <w:pPr>
        <w:jc w:val="center"/>
        <w:rPr>
          <w:rFonts w:ascii="宋体" w:hAnsi="宋体"/>
          <w:color w:val="000000" w:themeColor="text1"/>
          <w14:textFill>
            <w14:solidFill>
              <w14:schemeClr w14:val="tx1"/>
            </w14:solidFill>
          </w14:textFill>
        </w:rPr>
      </w:pPr>
    </w:p>
    <w:p w14:paraId="2F7DCB65">
      <w:pPr>
        <w:jc w:val="center"/>
        <w:rPr>
          <w:rFonts w:ascii="宋体" w:hAnsi="宋体"/>
          <w:color w:val="000000" w:themeColor="text1"/>
          <w14:textFill>
            <w14:solidFill>
              <w14:schemeClr w14:val="tx1"/>
            </w14:solidFill>
          </w14:textFill>
        </w:rPr>
      </w:pPr>
    </w:p>
    <w:p w14:paraId="2647683E">
      <w:pPr>
        <w:jc w:val="center"/>
        <w:rPr>
          <w:rFonts w:ascii="宋体" w:hAnsi="宋体"/>
          <w:color w:val="000000" w:themeColor="text1"/>
          <w14:textFill>
            <w14:solidFill>
              <w14:schemeClr w14:val="tx1"/>
            </w14:solidFill>
          </w14:textFill>
        </w:rPr>
      </w:pPr>
    </w:p>
    <w:p w14:paraId="58B77CD0">
      <w:pPr>
        <w:jc w:val="center"/>
        <w:rPr>
          <w:rFonts w:ascii="Arial" w:hAnsi="Arial" w:cs="Arial"/>
          <w:b/>
          <w:bCs/>
          <w:color w:val="000000" w:themeColor="text1"/>
          <w:kern w:val="0"/>
          <w:sz w:val="32"/>
          <w:szCs w:val="20"/>
          <w14:textFill>
            <w14:solidFill>
              <w14:schemeClr w14:val="tx1"/>
            </w14:solidFill>
          </w14:textFill>
        </w:rPr>
      </w:pPr>
      <w:r>
        <w:rPr>
          <w:rFonts w:hint="eastAsia" w:ascii="Arial" w:hAnsi="Arial" w:cs="Arial"/>
          <w:b/>
          <w:bCs/>
          <w:color w:val="000000" w:themeColor="text1"/>
          <w:kern w:val="0"/>
          <w:sz w:val="32"/>
          <w:szCs w:val="20"/>
          <w14:textFill>
            <w14:solidFill>
              <w14:schemeClr w14:val="tx1"/>
            </w14:solidFill>
          </w14:textFill>
        </w:rPr>
        <w:t>资格审查资料</w:t>
      </w:r>
    </w:p>
    <w:p w14:paraId="15981E9D">
      <w:pPr>
        <w:pStyle w:val="3"/>
        <w:spacing w:after="570"/>
        <w:ind w:left="1438"/>
        <w:rPr>
          <w:rFonts w:eastAsia="宋体" w:cs="Arial"/>
          <w:color w:val="000000" w:themeColor="text1"/>
          <w14:textFill>
            <w14:solidFill>
              <w14:schemeClr w14:val="tx1"/>
            </w14:solidFill>
          </w14:textFill>
        </w:rPr>
      </w:pPr>
      <w:bookmarkStart w:id="694" w:name="_Toc3612"/>
      <w:bookmarkStart w:id="695" w:name="_Toc31389"/>
      <w:bookmarkStart w:id="696" w:name="_Toc149060278"/>
      <w:bookmarkStart w:id="697" w:name="_Toc149060486"/>
      <w:bookmarkStart w:id="698" w:name="_Toc149206357"/>
      <w:r>
        <w:rPr>
          <w:rFonts w:hint="eastAsia" w:eastAsia="宋体" w:cs="Arial"/>
          <w:color w:val="000000" w:themeColor="text1"/>
          <w14:textFill>
            <w14:solidFill>
              <w14:schemeClr w14:val="tx1"/>
            </w14:solidFill>
          </w14:textFill>
        </w:rPr>
        <w:t>1）</w:t>
      </w:r>
      <w:r>
        <w:rPr>
          <w:rFonts w:eastAsia="宋体" w:cs="Arial"/>
          <w:color w:val="000000" w:themeColor="text1"/>
          <w14:textFill>
            <w14:solidFill>
              <w14:schemeClr w14:val="tx1"/>
            </w14:solidFill>
          </w14:textFill>
        </w:rPr>
        <w:t>法定代表人（单位负责人）身份证明</w:t>
      </w:r>
      <w:bookmarkEnd w:id="694"/>
      <w:bookmarkEnd w:id="695"/>
      <w:bookmarkEnd w:id="696"/>
      <w:bookmarkEnd w:id="697"/>
      <w:bookmarkEnd w:id="698"/>
    </w:p>
    <w:p w14:paraId="0C96A0B0">
      <w:pPr>
        <w:spacing w:line="433" w:lineRule="auto"/>
        <w:ind w:right="9290"/>
        <w:rPr>
          <w:rFonts w:ascii="Arial" w:hAnsi="Arial" w:cs="Arial"/>
          <w:color w:val="000000" w:themeColor="text1"/>
          <w14:textFill>
            <w14:solidFill>
              <w14:schemeClr w14:val="tx1"/>
            </w14:solidFill>
          </w14:textFill>
        </w:rPr>
      </w:pPr>
    </w:p>
    <w:p w14:paraId="43C44AFB">
      <w:pPr>
        <w:spacing w:line="360" w:lineRule="auto"/>
        <w:ind w:left="-4" w:leftChars="-2" w:right="590" w:firstLine="315" w:firstLineChars="150"/>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0637ACBF">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姓名：性别：年龄：职务：系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的法定代表人（单位负责人）。特此证明。</w:t>
      </w:r>
    </w:p>
    <w:p w14:paraId="4CDA36D8">
      <w:pPr>
        <w:spacing w:line="360" w:lineRule="auto"/>
        <w:rPr>
          <w:rFonts w:ascii="Arial" w:hAnsi="Arial" w:cs="Arial"/>
          <w:color w:val="000000" w:themeColor="text1"/>
          <w:szCs w:val="21"/>
          <w14:textFill>
            <w14:solidFill>
              <w14:schemeClr w14:val="tx1"/>
            </w14:solidFill>
          </w14:textFill>
        </w:rPr>
      </w:pPr>
    </w:p>
    <w:p w14:paraId="7FF181C5">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w:t>
      </w:r>
    </w:p>
    <w:p w14:paraId="75C85D7E">
      <w:pPr>
        <w:spacing w:line="360" w:lineRule="auto"/>
        <w:rPr>
          <w:rFonts w:ascii="Arial" w:hAnsi="Arial" w:cs="Arial"/>
          <w:color w:val="000000" w:themeColor="text1"/>
          <w:szCs w:val="21"/>
          <w14:textFill>
            <w14:solidFill>
              <w14:schemeClr w14:val="tx1"/>
            </w14:solidFill>
          </w14:textFill>
        </w:rPr>
      </w:pPr>
    </w:p>
    <w:p w14:paraId="1BF73E87">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注：本身份证明需由投标人加盖单位公章。</w:t>
      </w:r>
    </w:p>
    <w:p w14:paraId="65689B63">
      <w:pPr>
        <w:spacing w:line="360" w:lineRule="auto"/>
        <w:rPr>
          <w:rFonts w:ascii="Arial" w:hAnsi="Arial" w:cs="Arial"/>
          <w:color w:val="000000" w:themeColor="text1"/>
          <w:szCs w:val="21"/>
          <w14:textFill>
            <w14:solidFill>
              <w14:schemeClr w14:val="tx1"/>
            </w14:solidFill>
          </w14:textFill>
        </w:rPr>
      </w:pPr>
    </w:p>
    <w:p w14:paraId="4ED87D36">
      <w:pPr>
        <w:spacing w:line="360" w:lineRule="auto"/>
        <w:rPr>
          <w:rFonts w:ascii="Arial" w:hAnsi="Arial" w:cs="Arial"/>
          <w:color w:val="000000" w:themeColor="text1"/>
          <w:szCs w:val="21"/>
          <w14:textFill>
            <w14:solidFill>
              <w14:schemeClr w14:val="tx1"/>
            </w14:solidFill>
          </w14:textFill>
        </w:rPr>
      </w:pPr>
    </w:p>
    <w:p w14:paraId="7F2EC54D">
      <w:pPr>
        <w:spacing w:line="360" w:lineRule="auto"/>
        <w:ind w:left="-4" w:leftChars="-2" w:right="590" w:firstLine="315" w:firstLineChars="15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14:textFill>
            <w14:solidFill>
              <w14:schemeClr w14:val="tx1"/>
            </w14:solidFill>
          </w14:textFill>
        </w:rPr>
        <w:t xml:space="preserve">                 （单位公章）                 </w:t>
      </w:r>
    </w:p>
    <w:p w14:paraId="7D2742B5">
      <w:pPr>
        <w:spacing w:line="360" w:lineRule="auto"/>
        <w:rPr>
          <w:rFonts w:ascii="Arial" w:hAnsi="Arial" w:cs="Arial"/>
          <w:color w:val="000000" w:themeColor="text1"/>
          <w:szCs w:val="21"/>
          <w14:textFill>
            <w14:solidFill>
              <w14:schemeClr w14:val="tx1"/>
            </w14:solidFill>
          </w14:textFill>
        </w:rPr>
      </w:pPr>
    </w:p>
    <w:p w14:paraId="6CB4026B">
      <w:pPr>
        <w:spacing w:line="360" w:lineRule="auto"/>
        <w:ind w:left="10" w:right="2199" w:hanging="10"/>
        <w:jc w:val="righ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    年    月    日</w:t>
      </w:r>
    </w:p>
    <w:p w14:paraId="0E96CF63">
      <w:pPr>
        <w:rPr>
          <w:rFonts w:ascii="Arial" w:hAnsi="Arial" w:cs="Arial"/>
          <w:color w:val="000000" w:themeColor="text1"/>
          <w:sz w:val="32"/>
          <w14:textFill>
            <w14:solidFill>
              <w14:schemeClr w14:val="tx1"/>
            </w14:solidFill>
          </w14:textFill>
        </w:rPr>
      </w:pPr>
      <w:r>
        <w:rPr>
          <w:rFonts w:ascii="Arial" w:hAnsi="Arial" w:cs="Arial"/>
          <w:color w:val="000000" w:themeColor="text1"/>
          <w14:textFill>
            <w14:solidFill>
              <w14:schemeClr w14:val="tx1"/>
            </w14:solidFill>
          </w14:textFill>
        </w:rPr>
        <w:br w:type="page"/>
      </w:r>
    </w:p>
    <w:p w14:paraId="2979460A">
      <w:pPr>
        <w:pStyle w:val="3"/>
        <w:spacing w:after="550"/>
        <w:ind w:right="703"/>
        <w:jc w:val="center"/>
        <w:rPr>
          <w:rFonts w:eastAsia="宋体" w:cs="Arial"/>
          <w:color w:val="000000" w:themeColor="text1"/>
          <w14:textFill>
            <w14:solidFill>
              <w14:schemeClr w14:val="tx1"/>
            </w14:solidFill>
          </w14:textFill>
        </w:rPr>
      </w:pPr>
      <w:bookmarkStart w:id="699" w:name="_Toc149060487"/>
      <w:bookmarkStart w:id="700" w:name="_Toc149206358"/>
      <w:bookmarkStart w:id="701" w:name="_Toc25043"/>
      <w:bookmarkStart w:id="702" w:name="_Toc1324"/>
      <w:bookmarkStart w:id="703" w:name="_Toc149060279"/>
      <w:r>
        <w:rPr>
          <w:rFonts w:hint="eastAsia" w:eastAsia="宋体" w:cs="Arial"/>
          <w:color w:val="000000" w:themeColor="text1"/>
          <w14:textFill>
            <w14:solidFill>
              <w14:schemeClr w14:val="tx1"/>
            </w14:solidFill>
          </w14:textFill>
        </w:rPr>
        <w:t>2）</w:t>
      </w:r>
      <w:r>
        <w:rPr>
          <w:rFonts w:eastAsia="宋体" w:cs="Arial"/>
          <w:color w:val="000000" w:themeColor="text1"/>
          <w14:textFill>
            <w14:solidFill>
              <w14:schemeClr w14:val="tx1"/>
            </w14:solidFill>
          </w14:textFill>
        </w:rPr>
        <w:t>授权委托书</w:t>
      </w:r>
      <w:bookmarkEnd w:id="699"/>
      <w:bookmarkEnd w:id="700"/>
      <w:bookmarkEnd w:id="701"/>
      <w:bookmarkEnd w:id="702"/>
      <w:bookmarkEnd w:id="703"/>
    </w:p>
    <w:p w14:paraId="641BAC58">
      <w:pPr>
        <w:spacing w:line="360" w:lineRule="auto"/>
        <w:rPr>
          <w:rFonts w:ascii="Arial" w:hAnsi="Arial" w:cs="Arial"/>
          <w:color w:val="000000" w:themeColor="text1"/>
          <w14:textFill>
            <w14:solidFill>
              <w14:schemeClr w14:val="tx1"/>
            </w14:solidFill>
          </w14:textFill>
        </w:rPr>
      </w:pPr>
    </w:p>
    <w:p w14:paraId="14B7B8E9">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本人</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系</w:t>
      </w:r>
      <w:r>
        <w:rPr>
          <w:rFonts w:ascii="Arial" w:hAnsi="Arial" w:cs="Arial"/>
          <w:color w:val="000000" w:themeColor="text1"/>
          <w:szCs w:val="21"/>
          <w:u w:val="single"/>
          <w14:textFill>
            <w14:solidFill>
              <w14:schemeClr w14:val="tx1"/>
            </w14:solidFill>
          </w14:textFill>
        </w:rPr>
        <w:t xml:space="preserve">    （投标人名称）    </w:t>
      </w:r>
      <w:r>
        <w:rPr>
          <w:rFonts w:ascii="Arial" w:hAnsi="Arial" w:cs="Arial"/>
          <w:color w:val="000000" w:themeColor="text1"/>
          <w:szCs w:val="21"/>
          <w14:textFill>
            <w14:solidFill>
              <w14:schemeClr w14:val="tx1"/>
            </w14:solidFill>
          </w14:textFill>
        </w:rPr>
        <w:t>的法定代表人（单位负责人），现委托</w:t>
      </w:r>
      <w:r>
        <w:rPr>
          <w:rFonts w:ascii="Arial" w:hAnsi="Arial" w:cs="Arial"/>
          <w:color w:val="000000" w:themeColor="text1"/>
          <w:szCs w:val="21"/>
          <w:u w:val="single"/>
          <w14:textFill>
            <w14:solidFill>
              <w14:schemeClr w14:val="tx1"/>
            </w14:solidFill>
          </w14:textFill>
        </w:rPr>
        <w:t xml:space="preserve">    （姓名）    </w:t>
      </w:r>
      <w:r>
        <w:rPr>
          <w:rFonts w:ascii="Arial" w:hAnsi="Arial" w:cs="Arial"/>
          <w:color w:val="000000" w:themeColor="text1"/>
          <w:szCs w:val="21"/>
          <w14:textFill>
            <w14:solidFill>
              <w14:schemeClr w14:val="tx1"/>
            </w14:solidFill>
          </w14:textFill>
        </w:rPr>
        <w:t>为我方代理人。代理人根据授权，以我方名义签署、澄清确认、递交、撤回、修改</w:t>
      </w:r>
      <w:r>
        <w:rPr>
          <w:rFonts w:ascii="Arial" w:hAnsi="Arial" w:cs="Arial"/>
          <w:color w:val="000000" w:themeColor="text1"/>
          <w14:textFill>
            <w14:solidFill>
              <w14:schemeClr w14:val="tx1"/>
            </w14:solidFill>
          </w14:textFill>
        </w:rPr>
        <w:t>（项目名称）</w:t>
      </w:r>
      <w:r>
        <w:rPr>
          <w:rFonts w:ascii="Arial" w:hAnsi="Arial" w:cs="Arial"/>
          <w:color w:val="000000" w:themeColor="text1"/>
          <w:szCs w:val="21"/>
          <w14:textFill>
            <w14:solidFill>
              <w14:schemeClr w14:val="tx1"/>
            </w14:solidFill>
          </w14:textFill>
        </w:rPr>
        <w:t>投标文件、签订合同和处理有关事宜，其法律后果由我方承担。</w:t>
      </w:r>
    </w:p>
    <w:p w14:paraId="01355B54">
      <w:pPr>
        <w:spacing w:line="360" w:lineRule="auto"/>
        <w:ind w:left="-5"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委托期限：。</w:t>
      </w:r>
    </w:p>
    <w:p w14:paraId="354B1963">
      <w:pPr>
        <w:spacing w:line="360" w:lineRule="auto"/>
        <w:ind w:left="430" w:right="590" w:hanging="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代理人无转委托权。</w:t>
      </w:r>
    </w:p>
    <w:p w14:paraId="0D5FC475">
      <w:pPr>
        <w:spacing w:line="360" w:lineRule="auto"/>
        <w:ind w:left="420"/>
        <w:rPr>
          <w:rFonts w:ascii="Arial" w:hAnsi="Arial" w:cs="Arial"/>
          <w:color w:val="000000" w:themeColor="text1"/>
          <w:szCs w:val="21"/>
          <w14:textFill>
            <w14:solidFill>
              <w14:schemeClr w14:val="tx1"/>
            </w14:solidFill>
          </w14:textFill>
        </w:rPr>
      </w:pPr>
    </w:p>
    <w:p w14:paraId="695C0F5B">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附：法定代表人（单位负责人）身份证及委托代理人身份证</w:t>
      </w:r>
    </w:p>
    <w:p w14:paraId="72C39218">
      <w:pPr>
        <w:spacing w:line="360" w:lineRule="auto"/>
        <w:rPr>
          <w:rFonts w:ascii="Arial" w:hAnsi="Arial" w:cs="Arial"/>
          <w:color w:val="000000" w:themeColor="text1"/>
          <w:szCs w:val="21"/>
          <w14:textFill>
            <w14:solidFill>
              <w14:schemeClr w14:val="tx1"/>
            </w14:solidFill>
          </w14:textFill>
        </w:rPr>
      </w:pPr>
    </w:p>
    <w:p w14:paraId="17E2709E">
      <w:pPr>
        <w:spacing w:line="360" w:lineRule="auto"/>
        <w:ind w:left="-15" w:right="596" w:firstLine="41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注：本授权委托书需由投标人加盖单位公章并由其法定代表人（单位负责人）和委托代理人签字。</w:t>
      </w:r>
    </w:p>
    <w:p w14:paraId="5BD39D96">
      <w:pPr>
        <w:spacing w:line="360" w:lineRule="auto"/>
        <w:rPr>
          <w:rFonts w:ascii="Arial" w:hAnsi="Arial" w:cs="Arial"/>
          <w:color w:val="000000" w:themeColor="text1"/>
          <w:szCs w:val="21"/>
          <w14:textFill>
            <w14:solidFill>
              <w14:schemeClr w14:val="tx1"/>
            </w14:solidFill>
          </w14:textFill>
        </w:rPr>
      </w:pPr>
    </w:p>
    <w:p w14:paraId="408043C4">
      <w:pPr>
        <w:tabs>
          <w:tab w:val="center" w:pos="4004"/>
          <w:tab w:val="center" w:pos="5881"/>
          <w:tab w:val="center" w:pos="6301"/>
          <w:tab w:val="center" w:pos="7982"/>
        </w:tabs>
        <w:spacing w:line="360" w:lineRule="auto"/>
        <w:ind w:firstLine="2730" w:firstLineChars="13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（单位公章）</w:t>
      </w:r>
    </w:p>
    <w:p w14:paraId="0F3BE6A4">
      <w:pPr>
        <w:spacing w:line="360" w:lineRule="auto"/>
        <w:ind w:left="2693"/>
        <w:rPr>
          <w:rFonts w:ascii="Arial" w:hAnsi="Arial" w:cs="Arial"/>
          <w:color w:val="000000" w:themeColor="text1"/>
          <w:szCs w:val="21"/>
          <w14:textFill>
            <w14:solidFill>
              <w14:schemeClr w14:val="tx1"/>
            </w14:solidFill>
          </w14:textFill>
        </w:rPr>
      </w:pPr>
    </w:p>
    <w:p w14:paraId="19FE9DC6">
      <w:pPr>
        <w:tabs>
          <w:tab w:val="center" w:pos="4004"/>
          <w:tab w:val="center" w:pos="5881"/>
          <w:tab w:val="center" w:pos="6301"/>
          <w:tab w:val="center" w:pos="798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法定代表人（单位负责人）：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（签字</w:t>
      </w:r>
      <w:r>
        <w:rPr>
          <w:rFonts w:hint="eastAsia" w:ascii="Arial" w:hAnsi="Arial" w:cs="Arial"/>
          <w:color w:val="000000" w:themeColor="text1"/>
          <w:szCs w:val="21"/>
          <w14:textFill>
            <w14:solidFill>
              <w14:schemeClr w14:val="tx1"/>
            </w14:solidFill>
          </w14:textFill>
        </w:rPr>
        <w:t>或盖章</w:t>
      </w:r>
      <w:r>
        <w:rPr>
          <w:rFonts w:ascii="Arial" w:hAnsi="Arial" w:cs="Arial"/>
          <w:color w:val="000000" w:themeColor="text1"/>
          <w:szCs w:val="21"/>
          <w14:textFill>
            <w14:solidFill>
              <w14:schemeClr w14:val="tx1"/>
            </w14:solidFill>
          </w14:textFill>
        </w:rPr>
        <w:t>）</w:t>
      </w:r>
    </w:p>
    <w:p w14:paraId="410EA0FD">
      <w:pPr>
        <w:spacing w:line="360" w:lineRule="auto"/>
        <w:ind w:left="2693"/>
        <w:rPr>
          <w:rFonts w:ascii="Arial" w:hAnsi="Arial" w:cs="Arial"/>
          <w:color w:val="000000" w:themeColor="text1"/>
          <w:szCs w:val="21"/>
          <w14:textFill>
            <w14:solidFill>
              <w14:schemeClr w14:val="tx1"/>
            </w14:solidFill>
          </w14:textFill>
        </w:rPr>
      </w:pPr>
    </w:p>
    <w:p w14:paraId="115F0F1E">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14:paraId="136E6895">
      <w:pPr>
        <w:spacing w:line="360" w:lineRule="auto"/>
        <w:ind w:left="2693"/>
        <w:rPr>
          <w:rFonts w:ascii="Arial" w:hAnsi="Arial" w:cs="Arial"/>
          <w:color w:val="000000" w:themeColor="text1"/>
          <w:szCs w:val="21"/>
          <w14:textFill>
            <w14:solidFill>
              <w14:schemeClr w14:val="tx1"/>
            </w14:solidFill>
          </w14:textFill>
        </w:rPr>
      </w:pPr>
    </w:p>
    <w:p w14:paraId="3BA65281">
      <w:pPr>
        <w:tabs>
          <w:tab w:val="center" w:pos="3325"/>
          <w:tab w:val="center" w:pos="4201"/>
          <w:tab w:val="center" w:pos="4621"/>
          <w:tab w:val="center" w:pos="672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委托代理人：</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14:textFill>
            <w14:solidFill>
              <w14:schemeClr w14:val="tx1"/>
            </w14:solidFill>
          </w14:textFill>
        </w:rPr>
        <w:t>（</w:t>
      </w:r>
      <w:r>
        <w:rPr>
          <w:rFonts w:hint="eastAsia" w:ascii="Arial" w:hAnsi="Arial" w:cs="Arial"/>
          <w:color w:val="000000" w:themeColor="text1"/>
          <w:szCs w:val="21"/>
          <w14:textFill>
            <w14:solidFill>
              <w14:schemeClr w14:val="tx1"/>
            </w14:solidFill>
          </w14:textFill>
        </w:rPr>
        <w:t>签字或盖章</w:t>
      </w:r>
      <w:r>
        <w:rPr>
          <w:rFonts w:ascii="Arial" w:hAnsi="Arial" w:cs="Arial"/>
          <w:color w:val="000000" w:themeColor="text1"/>
          <w:szCs w:val="21"/>
          <w14:textFill>
            <w14:solidFill>
              <w14:schemeClr w14:val="tx1"/>
            </w14:solidFill>
          </w14:textFill>
        </w:rPr>
        <w:t>）</w:t>
      </w:r>
    </w:p>
    <w:p w14:paraId="7AE533DE">
      <w:pPr>
        <w:spacing w:line="360" w:lineRule="auto"/>
        <w:ind w:left="2693"/>
        <w:rPr>
          <w:rFonts w:ascii="Arial" w:hAnsi="Arial" w:cs="Arial"/>
          <w:color w:val="000000" w:themeColor="text1"/>
          <w:szCs w:val="21"/>
          <w14:textFill>
            <w14:solidFill>
              <w14:schemeClr w14:val="tx1"/>
            </w14:solidFill>
          </w14:textFill>
        </w:rPr>
      </w:pPr>
    </w:p>
    <w:p w14:paraId="3752A89E">
      <w:pPr>
        <w:tabs>
          <w:tab w:val="center" w:pos="3325"/>
          <w:tab w:val="center" w:pos="4201"/>
          <w:tab w:val="center" w:pos="4621"/>
          <w:tab w:val="center" w:pos="5041"/>
          <w:tab w:val="center" w:pos="8402"/>
        </w:tabs>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ab/>
      </w:r>
      <w:r>
        <w:rPr>
          <w:rFonts w:ascii="Arial" w:hAnsi="Arial" w:cs="Arial"/>
          <w:color w:val="000000" w:themeColor="text1"/>
          <w:szCs w:val="21"/>
          <w14:textFill>
            <w14:solidFill>
              <w14:schemeClr w14:val="tx1"/>
            </w14:solidFill>
          </w14:textFill>
        </w:rPr>
        <w:t>身份证号码：</w:t>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r>
        <w:rPr>
          <w:rFonts w:ascii="Arial" w:hAnsi="Arial" w:cs="Arial"/>
          <w:color w:val="000000" w:themeColor="text1"/>
          <w:szCs w:val="21"/>
          <w:u w:val="single" w:color="000000"/>
          <w14:textFill>
            <w14:solidFill>
              <w14:schemeClr w14:val="tx1"/>
            </w14:solidFill>
          </w14:textFill>
        </w:rPr>
        <w:tab/>
      </w:r>
    </w:p>
    <w:p w14:paraId="66E2E2FF">
      <w:pPr>
        <w:spacing w:line="360" w:lineRule="auto"/>
        <w:ind w:left="2693"/>
        <w:rPr>
          <w:rFonts w:ascii="Arial" w:hAnsi="Arial" w:cs="Arial"/>
          <w:color w:val="000000" w:themeColor="text1"/>
          <w:szCs w:val="21"/>
          <w14:textFill>
            <w14:solidFill>
              <w14:schemeClr w14:val="tx1"/>
            </w14:solidFill>
          </w14:textFill>
        </w:rPr>
      </w:pPr>
    </w:p>
    <w:p w14:paraId="56472B2E">
      <w:pPr>
        <w:spacing w:line="360" w:lineRule="auto"/>
        <w:ind w:left="2693"/>
        <w:rPr>
          <w:rFonts w:ascii="Arial" w:hAnsi="Arial" w:cs="Arial"/>
          <w:color w:val="000000" w:themeColor="text1"/>
          <w:szCs w:val="21"/>
          <w14:textFill>
            <w14:solidFill>
              <w14:schemeClr w14:val="tx1"/>
            </w14:solidFill>
          </w14:textFill>
        </w:rPr>
      </w:pPr>
    </w:p>
    <w:p w14:paraId="7EA4A782">
      <w:pPr>
        <w:jc w:val="center"/>
        <w:rPr>
          <w:color w:val="000000" w:themeColor="text1"/>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 xml:space="preserve">                                      </w:t>
      </w:r>
      <w:r>
        <w:rPr>
          <w:rFonts w:ascii="Arial" w:hAnsi="Arial" w:cs="Arial"/>
          <w:color w:val="000000" w:themeColor="text1"/>
          <w:szCs w:val="21"/>
          <w14:textFill>
            <w14:solidFill>
              <w14:schemeClr w14:val="tx1"/>
            </w14:solidFill>
          </w14:textFill>
        </w:rPr>
        <w:t xml:space="preserve">  年    月    日</w:t>
      </w:r>
    </w:p>
    <w:p w14:paraId="3E56A1E6">
      <w:pPr>
        <w:spacing w:line="360" w:lineRule="auto"/>
        <w:ind w:left="0" w:right="-8" w:firstLine="0"/>
        <w:jc w:val="both"/>
        <w:rPr>
          <w:color w:val="000000" w:themeColor="text1"/>
          <w14:textFill>
            <w14:solidFill>
              <w14:schemeClr w14:val="tx1"/>
            </w14:solidFill>
          </w14:textFill>
        </w:rPr>
      </w:pPr>
    </w:p>
    <w:p w14:paraId="0E9678E2">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9274D0B">
      <w:pPr>
        <w:pStyle w:val="17"/>
        <w:spacing w:line="360" w:lineRule="auto"/>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营业执照复印件</w:t>
      </w:r>
    </w:p>
    <w:p w14:paraId="170882B6">
      <w:pPr>
        <w:pStyle w:val="17"/>
        <w:spacing w:line="360" w:lineRule="auto"/>
        <w:ind w:left="0" w:leftChars="0" w:firstLine="0" w:firstLineChars="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其他投标人认为需要提供的资料</w:t>
      </w:r>
    </w:p>
    <w:p w14:paraId="3DF854B5">
      <w:pPr>
        <w:pStyle w:val="17"/>
        <w:rPr>
          <w:color w:val="000000" w:themeColor="text1"/>
          <w14:textFill>
            <w14:solidFill>
              <w14:schemeClr w14:val="tx1"/>
            </w14:solidFill>
          </w14:textFill>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swiss"/>
    <w:pitch w:val="default"/>
    <w:sig w:usb0="E00002FF" w:usb1="6AC7FDFB" w:usb2="08000012" w:usb3="00000000" w:csb0="4002009F" w:csb1="DFD7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1F71">
    <w:pPr>
      <w:pStyle w:val="11"/>
    </w:pPr>
  </w:p>
  <w:p w14:paraId="70F2469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A95881">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7A95881">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EA14">
    <w:pPr>
      <w:pStyle w:val="11"/>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C4E811">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C4E811">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60870F">
                          <w:pPr>
                            <w:pStyle w:val="11"/>
                          </w:pPr>
                        </w:p>
                        <w:p w14:paraId="2FC8E5B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760870F">
                    <w:pPr>
                      <w:pStyle w:val="11"/>
                    </w:pPr>
                  </w:p>
                  <w:p w14:paraId="2FC8E5BC"/>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233D0"/>
    <w:multiLevelType w:val="singleLevel"/>
    <w:tmpl w:val="0F4233D0"/>
    <w:lvl w:ilvl="0" w:tentative="0">
      <w:start w:val="5"/>
      <w:numFmt w:val="chineseCounting"/>
      <w:suff w:val="space"/>
      <w:lvlText w:val="第%1章"/>
      <w:lvlJc w:val="left"/>
      <w:rPr>
        <w:rFonts w:hint="eastAsia"/>
      </w:rPr>
    </w:lvl>
  </w:abstractNum>
  <w:abstractNum w:abstractNumId="1">
    <w:nsid w:val="4EB94228"/>
    <w:multiLevelType w:val="multilevel"/>
    <w:tmpl w:val="4EB94228"/>
    <w:lvl w:ilvl="0" w:tentative="0">
      <w:start w:val="1"/>
      <w:numFmt w:val="decimal"/>
      <w:lvlText w:val="（%1）"/>
      <w:lvlJc w:val="left"/>
      <w:pPr>
        <w:ind w:left="1037"/>
      </w:pPr>
      <w:rPr>
        <w:rFonts w:ascii="宋体" w:hAnsi="宋体" w:eastAsia="宋体" w:cs="宋体"/>
        <w:b w:val="0"/>
        <w:i w:val="0"/>
        <w:strike w:val="0"/>
        <w:dstrike w:val="0"/>
        <w:color w:val="000000"/>
        <w:sz w:val="21"/>
        <w:szCs w:val="21"/>
        <w:u w:val="none" w:color="000000"/>
        <w:shd w:val="clear" w:color="auto" w:fill="auto"/>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shd w:val="clear" w:color="auto" w:fill="auto"/>
        <w:vertAlign w:val="baseline"/>
      </w:rPr>
    </w:lvl>
  </w:abstractNum>
  <w:abstractNum w:abstractNumId="2">
    <w:nsid w:val="5235ADDC"/>
    <w:multiLevelType w:val="singleLevel"/>
    <w:tmpl w:val="5235ADDC"/>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82E8A"/>
    <w:rsid w:val="033E5886"/>
    <w:rsid w:val="03C670CD"/>
    <w:rsid w:val="051808E6"/>
    <w:rsid w:val="06420BBE"/>
    <w:rsid w:val="08B30F44"/>
    <w:rsid w:val="09682E8A"/>
    <w:rsid w:val="0B375C09"/>
    <w:rsid w:val="0B8B5A76"/>
    <w:rsid w:val="0F542633"/>
    <w:rsid w:val="12273588"/>
    <w:rsid w:val="136617EE"/>
    <w:rsid w:val="15207332"/>
    <w:rsid w:val="16BE32F8"/>
    <w:rsid w:val="1802611E"/>
    <w:rsid w:val="19DC4F2F"/>
    <w:rsid w:val="1DB77B59"/>
    <w:rsid w:val="204C329F"/>
    <w:rsid w:val="20C062E2"/>
    <w:rsid w:val="23F81C67"/>
    <w:rsid w:val="24135DFF"/>
    <w:rsid w:val="27A0604D"/>
    <w:rsid w:val="31C50C14"/>
    <w:rsid w:val="34C855BA"/>
    <w:rsid w:val="34D97C5D"/>
    <w:rsid w:val="37146913"/>
    <w:rsid w:val="39B35014"/>
    <w:rsid w:val="3AA72C39"/>
    <w:rsid w:val="3AB2078B"/>
    <w:rsid w:val="3C6B3C56"/>
    <w:rsid w:val="3CB04A87"/>
    <w:rsid w:val="3E6E58DB"/>
    <w:rsid w:val="3FA5067B"/>
    <w:rsid w:val="42B05D77"/>
    <w:rsid w:val="43076902"/>
    <w:rsid w:val="45CC4CAD"/>
    <w:rsid w:val="4767437C"/>
    <w:rsid w:val="4AD81D2D"/>
    <w:rsid w:val="4B9646CA"/>
    <w:rsid w:val="4E380AF3"/>
    <w:rsid w:val="4FD63F53"/>
    <w:rsid w:val="509641A0"/>
    <w:rsid w:val="52FA639B"/>
    <w:rsid w:val="53651232"/>
    <w:rsid w:val="57A354F6"/>
    <w:rsid w:val="57FF5F95"/>
    <w:rsid w:val="5B906E31"/>
    <w:rsid w:val="5C0E11AF"/>
    <w:rsid w:val="5F4D601C"/>
    <w:rsid w:val="66373275"/>
    <w:rsid w:val="6DD4006E"/>
    <w:rsid w:val="737B78AC"/>
    <w:rsid w:val="74A52E74"/>
    <w:rsid w:val="76167CB7"/>
    <w:rsid w:val="7D787A70"/>
    <w:rsid w:val="7EAD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7"/>
    <w:pPr>
      <w:keepNext/>
      <w:keepLines/>
      <w:spacing w:before="340" w:after="330" w:line="578" w:lineRule="auto"/>
      <w:outlineLvl w:val="0"/>
    </w:pPr>
    <w:rPr>
      <w:b/>
      <w:bCs/>
      <w:kern w:val="44"/>
      <w:sz w:val="44"/>
      <w:szCs w:val="44"/>
    </w:rPr>
  </w:style>
  <w:style w:type="paragraph" w:styleId="3">
    <w:name w:val="heading 2"/>
    <w:basedOn w:val="1"/>
    <w:next w:val="1"/>
    <w:qFormat/>
    <w:uiPriority w:val="8"/>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rPr>
      <w:rFonts w:ascii="宋体"/>
      <w:sz w:val="24"/>
      <w:szCs w:val="20"/>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rPr>
      <w:rFonts w:ascii="Times New Roman" w:hAnsi="Times New Roman" w:eastAsia="宋体" w:cs="Times New Roman"/>
    </w:rPr>
  </w:style>
  <w:style w:type="paragraph" w:styleId="10">
    <w:name w:val="Plain Text"/>
    <w:basedOn w:val="1"/>
    <w:qFormat/>
    <w:uiPriority w:val="99"/>
    <w:rPr>
      <w:rFonts w:ascii="宋体"/>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line="440" w:lineRule="exact"/>
      <w:jc w:val="center"/>
    </w:pPr>
    <w:rPr>
      <w:rFonts w:ascii="Times New Roman" w:hAnsi="Times New Roman" w:eastAsia="宋体" w:cs="Times New Roman"/>
    </w:rPr>
  </w:style>
  <w:style w:type="paragraph" w:styleId="14">
    <w:name w:val="toc 6"/>
    <w:basedOn w:val="1"/>
    <w:next w:val="1"/>
    <w:qFormat/>
    <w:uiPriority w:val="39"/>
    <w:pPr>
      <w:ind w:left="1000" w:leftChars="1000"/>
    </w:pPr>
    <w:rPr>
      <w:rFonts w:ascii="Calibri" w:hAnsi="Calibri" w:eastAsia="宋体" w:cs="Times New Roman"/>
      <w:szCs w:val="22"/>
    </w:rPr>
  </w:style>
  <w:style w:type="paragraph" w:styleId="15">
    <w:name w:val="toc 2"/>
    <w:basedOn w:val="1"/>
    <w:next w:val="1"/>
    <w:qFormat/>
    <w:uiPriority w:val="39"/>
    <w:pPr>
      <w:ind w:left="420" w:leftChars="200"/>
    </w:pPr>
    <w:rPr>
      <w:rFonts w:ascii="Times New Roman" w:hAnsi="Times New Roman" w:eastAsia="宋体" w:cs="Times New Roman"/>
    </w:rPr>
  </w:style>
  <w:style w:type="paragraph" w:styleId="16">
    <w:name w:val="Normal (Web)"/>
    <w:basedOn w:val="1"/>
    <w:qFormat/>
    <w:uiPriority w:val="0"/>
    <w:pPr>
      <w:widowControl/>
      <w:spacing w:before="100" w:beforeAutospacing="1" w:after="100" w:afterAutospacing="1" w:line="320" w:lineRule="atLeast"/>
      <w:jc w:val="left"/>
    </w:pPr>
    <w:rPr>
      <w:rFonts w:ascii="宋体" w:hAnsi="Times New Roman" w:eastAsia="宋体" w:cs="Times New Roman"/>
      <w:kern w:val="0"/>
      <w:sz w:val="18"/>
      <w:szCs w:val="18"/>
    </w:rPr>
  </w:style>
  <w:style w:type="paragraph" w:styleId="17">
    <w:name w:val="Body Text First Indent"/>
    <w:basedOn w:val="7"/>
    <w:next w:val="14"/>
    <w:qFormat/>
    <w:uiPriority w:val="0"/>
    <w:pPr>
      <w:ind w:firstLine="420" w:firstLineChars="100"/>
    </w:pPr>
  </w:style>
  <w:style w:type="paragraph" w:styleId="18">
    <w:name w:val="Body Text First Indent 2"/>
    <w:basedOn w:val="8"/>
    <w:qFormat/>
    <w:uiPriority w:val="99"/>
    <w:pPr>
      <w:tabs>
        <w:tab w:val="left" w:pos="0"/>
        <w:tab w:val="left" w:pos="993"/>
        <w:tab w:val="left" w:pos="1134"/>
      </w:tabs>
      <w:ind w:firstLine="420"/>
    </w:pPr>
    <w:rPr>
      <w:rFonts w:ascii="宋体" w:cs="宋体"/>
      <w:kern w:val="0"/>
      <w:szCs w:val="21"/>
    </w:rPr>
  </w:style>
  <w:style w:type="character" w:styleId="21">
    <w:name w:val="Hyperlink"/>
    <w:qFormat/>
    <w:uiPriority w:val="99"/>
    <w:rPr>
      <w:rFonts w:ascii="Times New Roman" w:hAnsi="Times New Roman" w:eastAsia="宋体" w:cs="Times New Roman"/>
      <w:color w:val="0000FF"/>
      <w:u w:val="single"/>
    </w:rPr>
  </w:style>
  <w:style w:type="paragraph" w:customStyle="1" w:styleId="22">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23">
    <w:name w:val="列出段落1"/>
    <w:basedOn w:val="1"/>
    <w:qFormat/>
    <w:uiPriority w:val="99"/>
    <w:pPr>
      <w:widowControl/>
      <w:ind w:firstLine="420" w:firstLineChars="200"/>
      <w:jc w:val="left"/>
    </w:pPr>
    <w:rPr>
      <w:rFonts w:ascii="Times New Roman" w:hAnsi="Times New Roman"/>
      <w:kern w:val="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25">
    <w:name w:val="apple-style-span"/>
    <w:qFormat/>
    <w:uiPriority w:val="0"/>
    <w:rPr>
      <w:rFonts w:ascii="Times New Roman" w:hAnsi="Times New Roman" w:eastAsia="宋体" w:cs="Times New Roman"/>
    </w:rPr>
  </w:style>
  <w:style w:type="character" w:customStyle="1" w:styleId="26">
    <w:name w:val="标题 1 Char"/>
    <w:qFormat/>
    <w:uiPriority w:val="0"/>
    <w:rPr>
      <w:rFonts w:ascii="Times New Roman" w:hAnsi="Times New Roman" w:eastAsia="宋体" w:cs="Times New Roman"/>
      <w:b/>
      <w:kern w:val="44"/>
      <w:sz w:val="28"/>
      <w:szCs w:val="24"/>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BodyText1I"/>
    <w:basedOn w:val="1"/>
    <w:next w:val="29"/>
    <w:qFormat/>
    <w:uiPriority w:val="0"/>
    <w:pPr>
      <w:ind w:firstLine="420"/>
      <w:jc w:val="both"/>
      <w:textAlignment w:val="baseline"/>
    </w:pPr>
    <w:rPr>
      <w:rFonts w:ascii="Calibri" w:hAnsi="Calibri" w:eastAsia="宋体"/>
      <w:kern w:val="2"/>
      <w:sz w:val="32"/>
      <w:szCs w:val="24"/>
      <w:lang w:val="en-US" w:eastAsia="zh-CN" w:bidi="ar-SA"/>
    </w:rPr>
  </w:style>
  <w:style w:type="paragraph" w:customStyle="1" w:styleId="29">
    <w:name w:val="TOC6"/>
    <w:basedOn w:val="1"/>
    <w:next w:val="1"/>
    <w:qFormat/>
    <w:uiPriority w:val="0"/>
    <w:pPr>
      <w:ind w:left="1050"/>
      <w:jc w:val="left"/>
      <w:textAlignment w:val="baseline"/>
    </w:pPr>
    <w:rPr>
      <w:rFonts w:eastAsia="仿宋_GB2312"/>
      <w:kern w:val="2"/>
      <w:sz w:val="18"/>
      <w:szCs w:val="18"/>
      <w:lang w:val="en-US" w:eastAsia="zh-CN" w:bidi="ar-SA"/>
    </w:rPr>
  </w:style>
  <w:style w:type="paragraph" w:customStyle="1" w:styleId="30">
    <w:name w:val="Table Text"/>
    <w:basedOn w:val="1"/>
    <w:semiHidden/>
    <w:qFormat/>
    <w:uiPriority w:val="0"/>
    <w:rPr>
      <w:rFonts w:ascii="Arial" w:hAnsi="Arial" w:eastAsia="Arial" w:cs="Arial"/>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ontrol" Target="activeX/activeX10.xml"/><Relationship Id="rId16" Type="http://schemas.openxmlformats.org/officeDocument/2006/relationships/control" Target="activeX/activeX9.xml"/><Relationship Id="rId15" Type="http://schemas.openxmlformats.org/officeDocument/2006/relationships/control" Target="activeX/activeX8.xml"/><Relationship Id="rId14" Type="http://schemas.openxmlformats.org/officeDocument/2006/relationships/control" Target="activeX/activeX7.xml"/><Relationship Id="rId13" Type="http://schemas.openxmlformats.org/officeDocument/2006/relationships/control" Target="activeX/activeX6.xml"/><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7.bin"/></Relationships>
</file>

<file path=word/activeX/_rels/activeX2.xml.rels><?xml version="1.0" encoding="UTF-8" standalone="yes"?>
<Relationships xmlns="http://schemas.openxmlformats.org/package/2006/relationships"><Relationship Id="rId1" Type="http://schemas.microsoft.com/office/2006/relationships/activeXControlBinary" Target="activeX9.bin"/></Relationships>
</file>

<file path=word/activeX/_rels/activeX3.xml.rels><?xml version="1.0" encoding="UTF-8" standalone="yes"?>
<Relationships xmlns="http://schemas.openxmlformats.org/package/2006/relationships"><Relationship Id="rId1" Type="http://schemas.microsoft.com/office/2006/relationships/activeXControlBinary" Target="activeX10.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8.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_rels/activeX9.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3576</Words>
  <Characters>4070</Characters>
  <Lines>0</Lines>
  <Paragraphs>0</Paragraphs>
  <TotalTime>20</TotalTime>
  <ScaleCrop>false</ScaleCrop>
  <LinksUpToDate>false</LinksUpToDate>
  <CharactersWithSpaces>4418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2025-04-07T08:15:00Z</dcterms:created>
  <dc:creator>Administrator</dc:creator>
  <cp:lastModifiedBy>岑陈晖</cp:lastModifiedBy>
  <dcterms:modified xsi:type="dcterms:W3CDTF">2025-07-02T02:41:11Z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eyJoZGlkIjoiZDhlODhmNWQwZTllZWIwOWVmMTljYmU3YWY4ZGM1ODIiLCJ1c2VySWQiOiIyNTYzNzM1NTMifQ==</vt:lpwstr>
  </property>
  <property fmtid="{D5CDD505-2E9C-101B-9397-08002B2CF9AE}" pid="4" name="ICV">
    <vt:lpwstr>56C43757121B4E06B97FA158F7DF7C58_13</vt:lpwstr>
  </property>
</Properties>
</file>